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方正仿宋_GBK" w:eastAsia="方正仿宋_GBK"/>
          <w:b/>
          <w:bCs/>
          <w:sz w:val="32"/>
          <w:szCs w:val="32"/>
          <w:lang w:val="en-US" w:eastAsia="zh-CN"/>
        </w:rPr>
      </w:pPr>
      <w:r>
        <w:rPr>
          <w:rFonts w:hint="eastAsia" w:ascii="方正仿宋_GBK" w:eastAsia="方正仿宋_GBK"/>
          <w:b/>
          <w:bCs/>
          <w:sz w:val="32"/>
          <w:szCs w:val="32"/>
          <w:lang w:val="en-US" w:eastAsia="zh-CN"/>
        </w:rPr>
        <w:t>附件1</w:t>
      </w:r>
    </w:p>
    <w:p>
      <w:pPr>
        <w:spacing w:line="500" w:lineRule="exact"/>
        <w:ind w:firstLine="643" w:firstLineChars="200"/>
        <w:rPr>
          <w:rFonts w:ascii="方正仿宋_GBK" w:eastAsia="方正仿宋_GBK"/>
          <w:b/>
          <w:bCs/>
          <w:sz w:val="32"/>
          <w:szCs w:val="32"/>
        </w:rPr>
      </w:pPr>
      <w:bookmarkStart w:id="3" w:name="_GoBack"/>
      <w:r>
        <w:rPr>
          <w:rFonts w:hint="eastAsia" w:ascii="方正仿宋_GBK" w:eastAsia="方正仿宋_GBK"/>
          <w:b/>
          <w:bCs/>
          <w:sz w:val="32"/>
          <w:szCs w:val="32"/>
        </w:rPr>
        <w:t>采购需求</w:t>
      </w:r>
    </w:p>
    <w:bookmarkEnd w:id="3"/>
    <w:p>
      <w:pPr>
        <w:pStyle w:val="2"/>
      </w:pPr>
    </w:p>
    <w:p>
      <w:pPr>
        <w:pStyle w:val="4"/>
        <w:shd w:val="clear" w:color="auto" w:fill="FFFFFF"/>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rPr>
        <w:t>更新气溶胶气体灭火系统</w:t>
      </w:r>
      <w:r>
        <w:rPr>
          <w:rFonts w:ascii="Times New Roman" w:hAnsi="Times New Roman" w:eastAsia="方正小标宋_GBK"/>
          <w:kern w:val="0"/>
          <w:sz w:val="36"/>
          <w:szCs w:val="36"/>
        </w:rPr>
        <w:t>采购清单及预算（货物类）</w:t>
      </w:r>
    </w:p>
    <w:p>
      <w:pPr>
        <w:pStyle w:val="4"/>
        <w:shd w:val="clear" w:color="auto" w:fill="FFFFFF"/>
        <w:rPr>
          <w:rFonts w:ascii="Times New Roman" w:hAnsi="Times New Roman" w:eastAsia="仿宋_GB2312"/>
          <w:kern w:val="0"/>
          <w:sz w:val="20"/>
          <w:szCs w:val="20"/>
        </w:rPr>
      </w:pPr>
      <w:r>
        <w:rPr>
          <w:rFonts w:ascii="Times New Roman" w:hAnsi="Times New Roman" w:eastAsia="仿宋_GB2312"/>
          <w:kern w:val="0"/>
          <w:sz w:val="24"/>
        </w:rPr>
        <w:t xml:space="preserve">计量单位：套              </w:t>
      </w:r>
      <w:r>
        <w:rPr>
          <w:rFonts w:hint="eastAsia" w:ascii="Times New Roman" w:hAnsi="Times New Roman" w:eastAsia="仿宋_GB2312"/>
          <w:kern w:val="0"/>
          <w:sz w:val="24"/>
        </w:rPr>
        <w:t xml:space="preserve">                                                           </w:t>
      </w:r>
      <w:r>
        <w:rPr>
          <w:rFonts w:ascii="Times New Roman" w:hAnsi="Times New Roman" w:eastAsia="仿宋_GB2312"/>
          <w:kern w:val="0"/>
          <w:sz w:val="24"/>
        </w:rPr>
        <w:t>计价单位：元</w:t>
      </w:r>
    </w:p>
    <w:tbl>
      <w:tblPr>
        <w:tblStyle w:val="6"/>
        <w:tblW w:w="13712" w:type="dxa"/>
        <w:jc w:val="center"/>
        <w:tblLayout w:type="fixed"/>
        <w:tblCellMar>
          <w:top w:w="0" w:type="dxa"/>
          <w:left w:w="108" w:type="dxa"/>
          <w:bottom w:w="0" w:type="dxa"/>
          <w:right w:w="108" w:type="dxa"/>
        </w:tblCellMar>
      </w:tblPr>
      <w:tblGrid>
        <w:gridCol w:w="790"/>
        <w:gridCol w:w="2304"/>
        <w:gridCol w:w="1582"/>
        <w:gridCol w:w="5496"/>
        <w:gridCol w:w="872"/>
        <w:gridCol w:w="1050"/>
        <w:gridCol w:w="1618"/>
      </w:tblGrid>
      <w:tr>
        <w:tblPrEx>
          <w:tblCellMar>
            <w:top w:w="0" w:type="dxa"/>
            <w:left w:w="108" w:type="dxa"/>
            <w:bottom w:w="0" w:type="dxa"/>
            <w:right w:w="108" w:type="dxa"/>
          </w:tblCellMar>
        </w:tblPrEx>
        <w:trPr>
          <w:trHeight w:val="870"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序号</w:t>
            </w:r>
          </w:p>
        </w:tc>
        <w:tc>
          <w:tcPr>
            <w:tcW w:w="23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产品名称</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参考图片</w:t>
            </w:r>
          </w:p>
        </w:tc>
        <w:tc>
          <w:tcPr>
            <w:tcW w:w="549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主要技术参数及功能要求</w:t>
            </w:r>
            <w:r>
              <w:rPr>
                <w:rFonts w:hint="eastAsia" w:eastAsia="黑体"/>
                <w:kern w:val="0"/>
                <w:sz w:val="24"/>
              </w:rPr>
              <w:t>（包括性能、材料、结构、外观、安全）</w:t>
            </w:r>
          </w:p>
        </w:tc>
        <w:tc>
          <w:tcPr>
            <w:tcW w:w="872" w:type="dxa"/>
            <w:tcBorders>
              <w:top w:val="single" w:color="auto" w:sz="4" w:space="0"/>
              <w:left w:val="single" w:color="auto" w:sz="4" w:space="0"/>
              <w:bottom w:val="single" w:color="auto" w:sz="4" w:space="0"/>
              <w:right w:val="single" w:color="auto" w:sz="4" w:space="0"/>
            </w:tcBorders>
            <w:vAlign w:val="center"/>
          </w:tcPr>
          <w:p>
            <w:pPr>
              <w:rPr>
                <w:rFonts w:eastAsia="黑体"/>
                <w:sz w:val="24"/>
              </w:rPr>
            </w:pPr>
            <w:r>
              <w:rPr>
                <w:rFonts w:eastAsia="黑体"/>
                <w:kern w:val="0"/>
                <w:sz w:val="24"/>
              </w:rPr>
              <w:t>数量</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单价</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hint="eastAsia" w:eastAsia="黑体"/>
                <w:kern w:val="0"/>
                <w:sz w:val="24"/>
              </w:rPr>
              <w:t>合计</w:t>
            </w:r>
            <w:r>
              <w:rPr>
                <w:rFonts w:eastAsia="黑体"/>
                <w:kern w:val="0"/>
                <w:sz w:val="24"/>
              </w:rPr>
              <w:t>金额</w:t>
            </w:r>
          </w:p>
        </w:tc>
      </w:tr>
      <w:tr>
        <w:tblPrEx>
          <w:tblCellMar>
            <w:top w:w="0" w:type="dxa"/>
            <w:left w:w="108" w:type="dxa"/>
            <w:bottom w:w="0" w:type="dxa"/>
            <w:right w:w="108" w:type="dxa"/>
          </w:tblCellMar>
        </w:tblPrEx>
        <w:trPr>
          <w:trHeight w:val="261" w:hRule="atLeast"/>
          <w:jc w:val="center"/>
        </w:trPr>
        <w:tc>
          <w:tcPr>
            <w:tcW w:w="790"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eastAsia="黑体"/>
                <w:kern w:val="0"/>
                <w:sz w:val="24"/>
              </w:rPr>
            </w:pPr>
            <w:r>
              <w:rPr>
                <w:rFonts w:eastAsia="黑体"/>
                <w:kern w:val="0"/>
                <w:sz w:val="24"/>
              </w:rPr>
              <w:t>1</w:t>
            </w:r>
          </w:p>
        </w:tc>
        <w:tc>
          <w:tcPr>
            <w:tcW w:w="2304" w:type="dxa"/>
            <w:tcBorders>
              <w:top w:val="single" w:color="auto" w:sz="4" w:space="0"/>
              <w:left w:val="nil"/>
              <w:bottom w:val="single" w:color="000000" w:sz="8" w:space="0"/>
              <w:right w:val="single" w:color="000000" w:sz="8" w:space="0"/>
            </w:tcBorders>
            <w:vAlign w:val="center"/>
          </w:tcPr>
          <w:p>
            <w:pPr>
              <w:widowControl/>
              <w:jc w:val="center"/>
              <w:rPr>
                <w:rFonts w:eastAsia="黑体"/>
                <w:kern w:val="0"/>
                <w:sz w:val="24"/>
              </w:rPr>
            </w:pPr>
            <w:r>
              <w:rPr>
                <w:rFonts w:eastAsia="黑体"/>
                <w:kern w:val="0"/>
                <w:sz w:val="24"/>
              </w:rPr>
              <w:t>　</w:t>
            </w:r>
            <w:r>
              <w:rPr>
                <w:rFonts w:hint="eastAsia" w:eastAsia="黑体"/>
                <w:kern w:val="0"/>
                <w:sz w:val="24"/>
              </w:rPr>
              <w:t>S型热气溶胶灭火装置</w:t>
            </w:r>
          </w:p>
        </w:tc>
        <w:tc>
          <w:tcPr>
            <w:tcW w:w="1582" w:type="dxa"/>
            <w:tcBorders>
              <w:top w:val="single" w:color="auto" w:sz="4" w:space="0"/>
              <w:left w:val="nil"/>
              <w:bottom w:val="single" w:color="000000" w:sz="8" w:space="0"/>
              <w:right w:val="single" w:color="000000" w:sz="8" w:space="0"/>
            </w:tcBorders>
            <w:vAlign w:val="center"/>
          </w:tcPr>
          <w:p>
            <w:pPr>
              <w:widowControl/>
              <w:jc w:val="center"/>
              <w:rPr>
                <w:rFonts w:eastAsia="黑体"/>
                <w:kern w:val="0"/>
                <w:sz w:val="24"/>
              </w:rPr>
            </w:pPr>
            <w:r>
              <w:rPr>
                <w:rFonts w:eastAsia="黑体"/>
                <w:kern w:val="0"/>
                <w:sz w:val="24"/>
              </w:rPr>
              <w:t>　</w:t>
            </w:r>
          </w:p>
        </w:tc>
        <w:tc>
          <w:tcPr>
            <w:tcW w:w="5496" w:type="dxa"/>
            <w:tcBorders>
              <w:top w:val="single" w:color="auto" w:sz="4" w:space="0"/>
              <w:left w:val="nil"/>
              <w:bottom w:val="single" w:color="000000" w:sz="8" w:space="0"/>
              <w:right w:val="single" w:color="000000" w:sz="8" w:space="0"/>
            </w:tcBorders>
            <w:vAlign w:val="center"/>
          </w:tcPr>
          <w:p>
            <w:pPr>
              <w:widowControl/>
              <w:jc w:val="center"/>
              <w:rPr>
                <w:rFonts w:eastAsia="黑体"/>
                <w:kern w:val="0"/>
                <w:sz w:val="24"/>
              </w:rPr>
            </w:pPr>
            <w:r>
              <w:rPr>
                <w:rFonts w:hint="eastAsia" w:eastAsia="黑体"/>
                <w:kern w:val="0"/>
                <w:sz w:val="24"/>
              </w:rPr>
              <w:t>热气溶胶型号：S型  质量：10</w:t>
            </w:r>
            <w:r>
              <w:rPr>
                <w:rFonts w:eastAsia="黑体"/>
                <w:kern w:val="0"/>
                <w:sz w:val="24"/>
              </w:rPr>
              <w:t>kg</w:t>
            </w:r>
            <w:r>
              <w:rPr>
                <w:rFonts w:hint="eastAsia" w:eastAsia="黑体"/>
                <w:kern w:val="0"/>
                <w:sz w:val="24"/>
              </w:rPr>
              <w:t>±2%</w:t>
            </w:r>
          </w:p>
          <w:p>
            <w:pPr>
              <w:widowControl/>
              <w:jc w:val="center"/>
              <w:rPr>
                <w:rFonts w:eastAsia="黑体"/>
                <w:kern w:val="0"/>
                <w:sz w:val="24"/>
              </w:rPr>
            </w:pPr>
            <w:r>
              <w:rPr>
                <w:rFonts w:hint="eastAsia" w:eastAsia="黑体"/>
                <w:kern w:val="0"/>
                <w:sz w:val="24"/>
              </w:rPr>
              <w:t>1.使用环境温度：-20℃~+55℃</w:t>
            </w:r>
          </w:p>
          <w:p>
            <w:pPr>
              <w:widowControl/>
              <w:jc w:val="center"/>
              <w:rPr>
                <w:rFonts w:eastAsia="黑体"/>
                <w:kern w:val="0"/>
                <w:sz w:val="24"/>
              </w:rPr>
            </w:pPr>
            <w:r>
              <w:rPr>
                <w:rFonts w:hint="eastAsia" w:eastAsia="黑体"/>
                <w:kern w:val="0"/>
                <w:sz w:val="24"/>
              </w:rPr>
              <w:t>2.灭火装置使用有效期：7年</w:t>
            </w:r>
          </w:p>
          <w:p>
            <w:pPr>
              <w:widowControl/>
              <w:jc w:val="center"/>
              <w:rPr>
                <w:rFonts w:eastAsia="黑体"/>
                <w:kern w:val="0"/>
                <w:sz w:val="24"/>
              </w:rPr>
            </w:pPr>
            <w:r>
              <w:rPr>
                <w:rFonts w:hint="eastAsia" w:eastAsia="黑体"/>
                <w:kern w:val="0"/>
                <w:sz w:val="24"/>
              </w:rPr>
              <w:t>3.灭火密度：150</w:t>
            </w:r>
            <w:r>
              <w:rPr>
                <w:rFonts w:eastAsia="黑体"/>
                <w:kern w:val="0"/>
                <w:sz w:val="24"/>
              </w:rPr>
              <w:t>g/</w:t>
            </w:r>
            <w:r>
              <w:rPr>
                <w:rFonts w:hint="eastAsia" w:eastAsia="黑体"/>
                <w:kern w:val="0"/>
                <w:szCs w:val="21"/>
              </w:rPr>
              <w:t xml:space="preserve"> </w:t>
            </w:r>
            <w:r>
              <w:rPr>
                <w:rFonts w:hint="eastAsia" w:eastAsia="黑体"/>
                <w:kern w:val="0"/>
                <w:sz w:val="24"/>
              </w:rPr>
              <w:t>m</w:t>
            </w:r>
            <w:r>
              <w:rPr>
                <w:rFonts w:hint="eastAsia" w:ascii="宋体" w:hAnsi="宋体" w:cs="宋体"/>
                <w:kern w:val="0"/>
                <w:sz w:val="24"/>
              </w:rPr>
              <w:t>³</w:t>
            </w:r>
          </w:p>
          <w:p>
            <w:pPr>
              <w:widowControl/>
              <w:jc w:val="center"/>
              <w:rPr>
                <w:rFonts w:eastAsia="黑体"/>
                <w:kern w:val="0"/>
                <w:sz w:val="24"/>
              </w:rPr>
            </w:pPr>
            <w:r>
              <w:rPr>
                <w:rFonts w:hint="eastAsia" w:eastAsia="黑体"/>
                <w:kern w:val="0"/>
                <w:sz w:val="24"/>
              </w:rPr>
              <w:t>4.喷口温度：5</w:t>
            </w:r>
            <w:r>
              <w:rPr>
                <w:rFonts w:eastAsia="黑体"/>
                <w:kern w:val="0"/>
                <w:sz w:val="24"/>
              </w:rPr>
              <w:t>mm</w:t>
            </w:r>
            <w:r>
              <w:rPr>
                <w:rFonts w:hint="eastAsia" w:eastAsia="黑体"/>
                <w:kern w:val="0"/>
                <w:sz w:val="24"/>
              </w:rPr>
              <w:t>≤180℃</w:t>
            </w:r>
          </w:p>
          <w:p>
            <w:pPr>
              <w:widowControl/>
              <w:jc w:val="center"/>
              <w:rPr>
                <w:rFonts w:eastAsia="黑体"/>
                <w:kern w:val="0"/>
                <w:sz w:val="24"/>
              </w:rPr>
            </w:pPr>
            <w:r>
              <w:rPr>
                <w:rFonts w:hint="eastAsia" w:eastAsia="黑体"/>
                <w:kern w:val="0"/>
                <w:sz w:val="24"/>
              </w:rPr>
              <w:t>5.氧化剂名称及含量：硝酸锶45%~55%、硝酸钾10%±2%</w:t>
            </w:r>
          </w:p>
          <w:p>
            <w:pPr>
              <w:widowControl/>
              <w:jc w:val="center"/>
              <w:rPr>
                <w:rFonts w:eastAsia="黑体"/>
                <w:kern w:val="0"/>
                <w:sz w:val="24"/>
              </w:rPr>
            </w:pPr>
            <w:r>
              <w:rPr>
                <w:rFonts w:hint="eastAsia" w:eastAsia="黑体"/>
                <w:kern w:val="0"/>
                <w:sz w:val="24"/>
              </w:rPr>
              <w:t>6.壳体表面温度：≤100℃</w:t>
            </w:r>
          </w:p>
          <w:p>
            <w:pPr>
              <w:widowControl/>
              <w:jc w:val="center"/>
              <w:rPr>
                <w:rFonts w:eastAsia="黑体"/>
                <w:kern w:val="0"/>
                <w:sz w:val="24"/>
              </w:rPr>
            </w:pPr>
            <w:r>
              <w:rPr>
                <w:rFonts w:eastAsia="黑体"/>
                <w:kern w:val="0"/>
                <w:sz w:val="24"/>
              </w:rPr>
              <w:t>　</w:t>
            </w:r>
          </w:p>
        </w:tc>
        <w:tc>
          <w:tcPr>
            <w:tcW w:w="872" w:type="dxa"/>
            <w:tcBorders>
              <w:top w:val="single" w:color="auto" w:sz="4" w:space="0"/>
              <w:left w:val="nil"/>
              <w:bottom w:val="single" w:color="000000" w:sz="8" w:space="0"/>
              <w:right w:val="single" w:color="000000" w:sz="8" w:space="0"/>
            </w:tcBorders>
            <w:vAlign w:val="center"/>
          </w:tcPr>
          <w:p>
            <w:pPr>
              <w:widowControl/>
              <w:jc w:val="center"/>
              <w:rPr>
                <w:rFonts w:eastAsia="黑体"/>
                <w:kern w:val="0"/>
                <w:sz w:val="24"/>
              </w:rPr>
            </w:pPr>
            <w:r>
              <w:rPr>
                <w:rFonts w:hint="eastAsia" w:eastAsia="黑体"/>
                <w:kern w:val="0"/>
                <w:sz w:val="24"/>
              </w:rPr>
              <w:t>38</w:t>
            </w:r>
            <w:r>
              <w:rPr>
                <w:rFonts w:eastAsia="黑体"/>
                <w:kern w:val="0"/>
                <w:sz w:val="24"/>
              </w:rPr>
              <w:t>　</w:t>
            </w:r>
          </w:p>
        </w:tc>
        <w:tc>
          <w:tcPr>
            <w:tcW w:w="1050" w:type="dxa"/>
            <w:tcBorders>
              <w:top w:val="single" w:color="auto" w:sz="4" w:space="0"/>
              <w:left w:val="nil"/>
              <w:bottom w:val="single" w:color="000000" w:sz="8" w:space="0"/>
              <w:right w:val="single" w:color="000000" w:sz="8" w:space="0"/>
            </w:tcBorders>
            <w:vAlign w:val="center"/>
          </w:tcPr>
          <w:p>
            <w:pPr>
              <w:widowControl/>
              <w:jc w:val="center"/>
              <w:rPr>
                <w:rFonts w:eastAsia="黑体"/>
                <w:kern w:val="0"/>
                <w:sz w:val="24"/>
              </w:rPr>
            </w:pPr>
          </w:p>
        </w:tc>
        <w:tc>
          <w:tcPr>
            <w:tcW w:w="1618" w:type="dxa"/>
            <w:tcBorders>
              <w:top w:val="single" w:color="auto" w:sz="4" w:space="0"/>
              <w:left w:val="nil"/>
              <w:bottom w:val="single" w:color="000000" w:sz="8" w:space="0"/>
              <w:right w:val="single" w:color="000000" w:sz="8" w:space="0"/>
            </w:tcBorders>
            <w:vAlign w:val="center"/>
          </w:tcPr>
          <w:p>
            <w:pPr>
              <w:widowControl/>
              <w:jc w:val="center"/>
              <w:rPr>
                <w:rFonts w:eastAsia="黑体"/>
                <w:kern w:val="0"/>
                <w:sz w:val="24"/>
              </w:rPr>
            </w:pP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eastAsia="黑体"/>
                <w:kern w:val="0"/>
                <w:sz w:val="24"/>
              </w:rPr>
            </w:pPr>
            <w:r>
              <w:rPr>
                <w:rFonts w:eastAsia="黑体"/>
                <w:kern w:val="0"/>
                <w:sz w:val="24"/>
              </w:rPr>
              <w:t>2</w:t>
            </w:r>
          </w:p>
        </w:tc>
        <w:tc>
          <w:tcPr>
            <w:tcW w:w="2304" w:type="dxa"/>
            <w:tcBorders>
              <w:top w:val="single" w:color="auto" w:sz="4" w:space="0"/>
              <w:left w:val="nil"/>
              <w:bottom w:val="single" w:color="000000" w:sz="8" w:space="0"/>
              <w:right w:val="single" w:color="000000" w:sz="8" w:space="0"/>
            </w:tcBorders>
            <w:vAlign w:val="center"/>
          </w:tcPr>
          <w:p>
            <w:pPr>
              <w:widowControl/>
              <w:jc w:val="center"/>
              <w:rPr>
                <w:rFonts w:eastAsia="黑体"/>
                <w:kern w:val="0"/>
                <w:sz w:val="24"/>
              </w:rPr>
            </w:pPr>
          </w:p>
        </w:tc>
        <w:tc>
          <w:tcPr>
            <w:tcW w:w="1582" w:type="dxa"/>
            <w:tcBorders>
              <w:top w:val="single" w:color="auto" w:sz="4" w:space="0"/>
              <w:left w:val="nil"/>
              <w:bottom w:val="single" w:color="000000" w:sz="8" w:space="0"/>
              <w:right w:val="single" w:color="000000" w:sz="8" w:space="0"/>
            </w:tcBorders>
            <w:vAlign w:val="center"/>
          </w:tcPr>
          <w:p>
            <w:pPr>
              <w:widowControl/>
              <w:jc w:val="center"/>
              <w:rPr>
                <w:rFonts w:eastAsia="黑体"/>
                <w:kern w:val="0"/>
                <w:sz w:val="24"/>
              </w:rPr>
            </w:pPr>
          </w:p>
        </w:tc>
        <w:tc>
          <w:tcPr>
            <w:tcW w:w="5496" w:type="dxa"/>
            <w:tcBorders>
              <w:top w:val="single" w:color="auto" w:sz="4" w:space="0"/>
              <w:left w:val="nil"/>
              <w:bottom w:val="single" w:color="000000" w:sz="8" w:space="0"/>
              <w:right w:val="single" w:color="auto" w:sz="4" w:space="0"/>
            </w:tcBorders>
            <w:vAlign w:val="center"/>
          </w:tcPr>
          <w:p>
            <w:pPr>
              <w:widowControl/>
              <w:jc w:val="center"/>
              <w:rPr>
                <w:rFonts w:eastAsia="黑体"/>
                <w:kern w:val="0"/>
                <w:sz w:val="24"/>
              </w:rPr>
            </w:pPr>
          </w:p>
        </w:tc>
        <w:tc>
          <w:tcPr>
            <w:tcW w:w="872" w:type="dxa"/>
            <w:tcBorders>
              <w:top w:val="single" w:color="auto" w:sz="4" w:space="0"/>
              <w:left w:val="single" w:color="auto" w:sz="4" w:space="0"/>
              <w:bottom w:val="single" w:color="000000" w:sz="8" w:space="0"/>
              <w:right w:val="single" w:color="auto" w:sz="4" w:space="0"/>
            </w:tcBorders>
            <w:vAlign w:val="center"/>
          </w:tcPr>
          <w:p>
            <w:pPr>
              <w:widowControl/>
              <w:jc w:val="center"/>
              <w:rPr>
                <w:rFonts w:eastAsia="黑体"/>
                <w:kern w:val="0"/>
                <w:sz w:val="24"/>
              </w:rPr>
            </w:pPr>
          </w:p>
        </w:tc>
        <w:tc>
          <w:tcPr>
            <w:tcW w:w="1050" w:type="dxa"/>
            <w:tcBorders>
              <w:top w:val="single" w:color="auto" w:sz="4" w:space="0"/>
              <w:left w:val="single" w:color="auto" w:sz="4" w:space="0"/>
              <w:bottom w:val="single" w:color="000000" w:sz="8" w:space="0"/>
              <w:right w:val="single" w:color="000000" w:sz="8" w:space="0"/>
            </w:tcBorders>
            <w:vAlign w:val="center"/>
          </w:tcPr>
          <w:p>
            <w:pPr>
              <w:widowControl/>
              <w:jc w:val="center"/>
              <w:rPr>
                <w:rFonts w:eastAsia="黑体"/>
                <w:kern w:val="0"/>
                <w:sz w:val="24"/>
              </w:rPr>
            </w:pPr>
          </w:p>
        </w:tc>
        <w:tc>
          <w:tcPr>
            <w:tcW w:w="1618" w:type="dxa"/>
            <w:tcBorders>
              <w:top w:val="single" w:color="auto" w:sz="4" w:space="0"/>
              <w:left w:val="nil"/>
              <w:bottom w:val="single" w:color="000000" w:sz="8" w:space="0"/>
              <w:right w:val="single" w:color="000000" w:sz="8" w:space="0"/>
            </w:tcBorders>
            <w:vAlign w:val="center"/>
          </w:tcPr>
          <w:p>
            <w:pPr>
              <w:widowControl/>
              <w:jc w:val="center"/>
              <w:rPr>
                <w:rFonts w:eastAsia="黑体"/>
                <w:kern w:val="0"/>
                <w:sz w:val="24"/>
              </w:rPr>
            </w:pP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eastAsia="黑体"/>
                <w:kern w:val="0"/>
                <w:sz w:val="24"/>
              </w:rPr>
            </w:pPr>
            <w:r>
              <w:rPr>
                <w:rFonts w:hint="eastAsia" w:eastAsia="黑体"/>
                <w:kern w:val="0"/>
                <w:sz w:val="24"/>
              </w:rPr>
              <w:t>3</w:t>
            </w:r>
          </w:p>
        </w:tc>
        <w:tc>
          <w:tcPr>
            <w:tcW w:w="2304" w:type="dxa"/>
            <w:tcBorders>
              <w:top w:val="single" w:color="auto" w:sz="4" w:space="0"/>
              <w:left w:val="nil"/>
              <w:bottom w:val="single" w:color="000000" w:sz="8" w:space="0"/>
              <w:right w:val="single" w:color="000000" w:sz="8" w:space="0"/>
            </w:tcBorders>
            <w:vAlign w:val="center"/>
          </w:tcPr>
          <w:p>
            <w:pPr>
              <w:widowControl/>
              <w:jc w:val="center"/>
              <w:rPr>
                <w:rFonts w:eastAsia="黑体"/>
                <w:kern w:val="0"/>
                <w:sz w:val="24"/>
              </w:rPr>
            </w:pPr>
          </w:p>
        </w:tc>
        <w:tc>
          <w:tcPr>
            <w:tcW w:w="1582" w:type="dxa"/>
            <w:tcBorders>
              <w:top w:val="single" w:color="auto" w:sz="4" w:space="0"/>
              <w:left w:val="nil"/>
              <w:bottom w:val="single" w:color="000000" w:sz="8" w:space="0"/>
              <w:right w:val="single" w:color="000000" w:sz="8" w:space="0"/>
            </w:tcBorders>
            <w:vAlign w:val="center"/>
          </w:tcPr>
          <w:p>
            <w:pPr>
              <w:widowControl/>
              <w:jc w:val="center"/>
              <w:rPr>
                <w:rFonts w:eastAsia="黑体"/>
                <w:kern w:val="0"/>
                <w:sz w:val="24"/>
              </w:rPr>
            </w:pPr>
          </w:p>
        </w:tc>
        <w:tc>
          <w:tcPr>
            <w:tcW w:w="5496" w:type="dxa"/>
            <w:tcBorders>
              <w:top w:val="single" w:color="auto" w:sz="4" w:space="0"/>
              <w:left w:val="nil"/>
              <w:bottom w:val="single" w:color="000000" w:sz="8" w:space="0"/>
              <w:right w:val="single" w:color="auto" w:sz="4" w:space="0"/>
            </w:tcBorders>
            <w:vAlign w:val="center"/>
          </w:tcPr>
          <w:p>
            <w:pPr>
              <w:widowControl/>
              <w:jc w:val="center"/>
              <w:rPr>
                <w:rFonts w:eastAsia="黑体"/>
                <w:kern w:val="0"/>
                <w:sz w:val="24"/>
              </w:rPr>
            </w:pPr>
          </w:p>
        </w:tc>
        <w:tc>
          <w:tcPr>
            <w:tcW w:w="872" w:type="dxa"/>
            <w:tcBorders>
              <w:top w:val="single" w:color="auto" w:sz="4" w:space="0"/>
              <w:left w:val="single" w:color="auto" w:sz="4" w:space="0"/>
              <w:bottom w:val="single" w:color="000000" w:sz="8" w:space="0"/>
              <w:right w:val="single" w:color="auto" w:sz="4" w:space="0"/>
            </w:tcBorders>
            <w:vAlign w:val="center"/>
          </w:tcPr>
          <w:p>
            <w:pPr>
              <w:widowControl/>
              <w:jc w:val="center"/>
              <w:rPr>
                <w:rFonts w:eastAsia="黑体"/>
                <w:kern w:val="0"/>
                <w:sz w:val="24"/>
              </w:rPr>
            </w:pPr>
          </w:p>
        </w:tc>
        <w:tc>
          <w:tcPr>
            <w:tcW w:w="1050" w:type="dxa"/>
            <w:tcBorders>
              <w:top w:val="single" w:color="auto" w:sz="4" w:space="0"/>
              <w:left w:val="single" w:color="auto" w:sz="4" w:space="0"/>
              <w:bottom w:val="single" w:color="000000" w:sz="8" w:space="0"/>
              <w:right w:val="single" w:color="000000" w:sz="8" w:space="0"/>
            </w:tcBorders>
            <w:vAlign w:val="center"/>
          </w:tcPr>
          <w:p>
            <w:pPr>
              <w:widowControl/>
              <w:jc w:val="center"/>
              <w:rPr>
                <w:rFonts w:eastAsia="黑体"/>
                <w:kern w:val="0"/>
                <w:sz w:val="24"/>
              </w:rPr>
            </w:pPr>
          </w:p>
        </w:tc>
        <w:tc>
          <w:tcPr>
            <w:tcW w:w="1618" w:type="dxa"/>
            <w:tcBorders>
              <w:top w:val="single" w:color="auto" w:sz="4" w:space="0"/>
              <w:left w:val="nil"/>
              <w:bottom w:val="single" w:color="000000" w:sz="8" w:space="0"/>
              <w:right w:val="single" w:color="000000" w:sz="8" w:space="0"/>
            </w:tcBorders>
            <w:vAlign w:val="center"/>
          </w:tcPr>
          <w:p>
            <w:pPr>
              <w:widowControl/>
              <w:jc w:val="center"/>
              <w:rPr>
                <w:rFonts w:eastAsia="黑体"/>
                <w:kern w:val="0"/>
                <w:sz w:val="24"/>
              </w:rPr>
            </w:pPr>
          </w:p>
        </w:tc>
      </w:tr>
      <w:tr>
        <w:tblPrEx>
          <w:tblCellMar>
            <w:top w:w="0" w:type="dxa"/>
            <w:left w:w="108" w:type="dxa"/>
            <w:bottom w:w="0" w:type="dxa"/>
            <w:right w:w="108" w:type="dxa"/>
          </w:tblCellMar>
        </w:tblPrEx>
        <w:trPr>
          <w:trHeight w:val="300" w:hRule="atLeast"/>
          <w:jc w:val="center"/>
        </w:trPr>
        <w:tc>
          <w:tcPr>
            <w:tcW w:w="790" w:type="dxa"/>
            <w:tcBorders>
              <w:top w:val="nil"/>
              <w:left w:val="single" w:color="000000" w:sz="8" w:space="0"/>
              <w:bottom w:val="single" w:color="000000" w:sz="8" w:space="0"/>
              <w:right w:val="single" w:color="000000" w:sz="8" w:space="0"/>
            </w:tcBorders>
            <w:vAlign w:val="center"/>
          </w:tcPr>
          <w:p>
            <w:pPr>
              <w:widowControl/>
              <w:jc w:val="center"/>
              <w:rPr>
                <w:rFonts w:eastAsia="黑体"/>
                <w:kern w:val="0"/>
                <w:sz w:val="24"/>
              </w:rPr>
            </w:pPr>
            <w:r>
              <w:rPr>
                <w:rFonts w:eastAsia="黑体"/>
                <w:kern w:val="0"/>
                <w:sz w:val="24"/>
              </w:rPr>
              <w:t>合计</w:t>
            </w:r>
          </w:p>
        </w:tc>
        <w:tc>
          <w:tcPr>
            <w:tcW w:w="9382" w:type="dxa"/>
            <w:gridSpan w:val="3"/>
            <w:tcBorders>
              <w:top w:val="nil"/>
              <w:left w:val="nil"/>
              <w:bottom w:val="single" w:color="000000" w:sz="8" w:space="0"/>
              <w:right w:val="single" w:color="auto" w:sz="4" w:space="0"/>
            </w:tcBorders>
            <w:vAlign w:val="center"/>
          </w:tcPr>
          <w:p>
            <w:pPr>
              <w:widowControl/>
              <w:jc w:val="left"/>
              <w:rPr>
                <w:rFonts w:eastAsia="黑体"/>
                <w:kern w:val="0"/>
                <w:sz w:val="24"/>
              </w:rPr>
            </w:pPr>
            <w:r>
              <w:rPr>
                <w:rFonts w:eastAsia="黑体"/>
                <w:kern w:val="0"/>
                <w:sz w:val="24"/>
              </w:rPr>
              <w:t>人民币大写：</w:t>
            </w:r>
          </w:p>
        </w:tc>
        <w:tc>
          <w:tcPr>
            <w:tcW w:w="872" w:type="dxa"/>
            <w:tcBorders>
              <w:top w:val="nil"/>
              <w:left w:val="single" w:color="auto" w:sz="4" w:space="0"/>
              <w:bottom w:val="single" w:color="000000" w:sz="8" w:space="0"/>
              <w:right w:val="single" w:color="auto" w:sz="4" w:space="0"/>
            </w:tcBorders>
            <w:vAlign w:val="center"/>
          </w:tcPr>
          <w:p>
            <w:pPr>
              <w:widowControl/>
              <w:jc w:val="left"/>
              <w:rPr>
                <w:rFonts w:eastAsia="黑体"/>
                <w:kern w:val="0"/>
                <w:sz w:val="24"/>
              </w:rPr>
            </w:pPr>
            <w:r>
              <w:rPr>
                <w:rFonts w:eastAsia="黑体"/>
                <w:kern w:val="0"/>
                <w:sz w:val="24"/>
              </w:rPr>
              <w:t>　</w:t>
            </w:r>
          </w:p>
        </w:tc>
        <w:tc>
          <w:tcPr>
            <w:tcW w:w="1050" w:type="dxa"/>
            <w:tcBorders>
              <w:top w:val="nil"/>
              <w:left w:val="single" w:color="auto" w:sz="4" w:space="0"/>
              <w:bottom w:val="single" w:color="000000" w:sz="8" w:space="0"/>
              <w:right w:val="single" w:color="000000" w:sz="8" w:space="0"/>
            </w:tcBorders>
            <w:vAlign w:val="center"/>
          </w:tcPr>
          <w:p>
            <w:pPr>
              <w:widowControl/>
              <w:jc w:val="left"/>
              <w:rPr>
                <w:rFonts w:eastAsia="黑体"/>
                <w:kern w:val="0"/>
                <w:sz w:val="24"/>
              </w:rPr>
            </w:pPr>
            <w:r>
              <w:rPr>
                <w:rFonts w:eastAsia="黑体"/>
                <w:kern w:val="0"/>
                <w:sz w:val="24"/>
              </w:rPr>
              <w:t>　</w:t>
            </w:r>
          </w:p>
        </w:tc>
        <w:tc>
          <w:tcPr>
            <w:tcW w:w="1618" w:type="dxa"/>
            <w:tcBorders>
              <w:top w:val="nil"/>
              <w:left w:val="nil"/>
              <w:bottom w:val="single" w:color="000000" w:sz="8" w:space="0"/>
              <w:right w:val="single" w:color="000000" w:sz="8" w:space="0"/>
            </w:tcBorders>
          </w:tcPr>
          <w:p>
            <w:pPr>
              <w:widowControl/>
              <w:jc w:val="left"/>
              <w:rPr>
                <w:rFonts w:eastAsia="黑体"/>
                <w:kern w:val="0"/>
                <w:sz w:val="24"/>
              </w:rPr>
            </w:pPr>
            <w:r>
              <w:rPr>
                <w:rFonts w:eastAsia="黑体"/>
                <w:kern w:val="0"/>
                <w:sz w:val="24"/>
              </w:rPr>
              <w:t>　</w:t>
            </w:r>
          </w:p>
        </w:tc>
      </w:tr>
    </w:tbl>
    <w:p>
      <w:pPr>
        <w:widowControl/>
        <w:jc w:val="center"/>
        <w:rPr>
          <w:rFonts w:eastAsia="方正小标宋_GBK"/>
          <w:kern w:val="0"/>
          <w:sz w:val="24"/>
        </w:rPr>
      </w:pPr>
      <w:r>
        <w:rPr>
          <w:rFonts w:hint="eastAsia" w:eastAsia="方正小标宋_GBK"/>
          <w:kern w:val="0"/>
          <w:sz w:val="24"/>
        </w:rPr>
        <w:t>备注：现有即将过期的38套气溶胶灭火装置由中标单位负责拉走报废处理，甲方不额外负担含拆卸、运输、报废的一切费用。</w:t>
      </w:r>
    </w:p>
    <w:p>
      <w:pPr>
        <w:sectPr>
          <w:pgSz w:w="16838" w:h="11906" w:orient="landscape"/>
          <w:pgMar w:top="1800" w:right="1440" w:bottom="1800" w:left="1440" w:header="851" w:footer="992" w:gutter="0"/>
          <w:cols w:space="425" w:num="1"/>
          <w:docGrid w:type="lines" w:linePitch="312" w:charSpace="0"/>
        </w:sectPr>
      </w:pPr>
    </w:p>
    <w:p>
      <w:pPr>
        <w:pStyle w:val="4"/>
        <w:shd w:val="clear" w:color="auto" w:fill="FFFFFF"/>
        <w:spacing w:line="360" w:lineRule="auto"/>
        <w:jc w:val="center"/>
        <w:rPr>
          <w:rFonts w:ascii="Times New Roman" w:hAnsi="Times New Roman" w:eastAsia="方正小标宋_GBK"/>
          <w:kern w:val="0"/>
          <w:sz w:val="36"/>
          <w:szCs w:val="36"/>
        </w:rPr>
      </w:pPr>
      <w:bookmarkStart w:id="0" w:name="_Hlk101431574"/>
      <w:r>
        <w:rPr>
          <w:rFonts w:hint="eastAsia" w:ascii="Times New Roman" w:hAnsi="Times New Roman" w:eastAsia="方正小标宋_GBK"/>
          <w:kern w:val="0"/>
          <w:sz w:val="36"/>
          <w:szCs w:val="36"/>
        </w:rPr>
        <w:t>项目商务需求方案</w:t>
      </w:r>
    </w:p>
    <w:p>
      <w:pPr>
        <w:pStyle w:val="2"/>
        <w:spacing w:before="0" w:after="0" w:line="440" w:lineRule="exact"/>
        <w:rPr>
          <w:rFonts w:ascii="方正仿宋_GBK" w:hAnsi="宋体" w:eastAsia="方正仿宋_GBK"/>
          <w:sz w:val="24"/>
          <w:szCs w:val="24"/>
        </w:rPr>
      </w:pPr>
      <w:r>
        <w:rPr>
          <w:rFonts w:hint="eastAsia" w:ascii="方正仿宋_GBK" w:hAnsi="宋体" w:eastAsia="方正仿宋_GBK"/>
          <w:sz w:val="24"/>
          <w:szCs w:val="24"/>
        </w:rPr>
        <w:t>一、交货/实施时间、地点及验收方式</w:t>
      </w:r>
    </w:p>
    <w:p>
      <w:pPr>
        <w:pStyle w:val="5"/>
        <w:spacing w:line="400" w:lineRule="exact"/>
        <w:ind w:firstLine="360" w:firstLineChars="150"/>
        <w:rPr>
          <w:rFonts w:ascii="方正仿宋_GBK" w:hAnsi="宋体" w:eastAsia="方正仿宋_GBK"/>
          <w:sz w:val="24"/>
        </w:rPr>
      </w:pPr>
      <w:r>
        <w:rPr>
          <w:rFonts w:hint="eastAsia" w:ascii="方正仿宋_GBK" w:hAnsi="宋体" w:eastAsia="方正仿宋_GBK"/>
          <w:sz w:val="24"/>
        </w:rPr>
        <w:t>（一）交货/实施时间</w:t>
      </w:r>
    </w:p>
    <w:p>
      <w:pPr>
        <w:pStyle w:val="5"/>
        <w:tabs>
          <w:tab w:val="left" w:pos="4905"/>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1.签订合同后30个日历日内完成合同约定的所有内容。</w:t>
      </w:r>
    </w:p>
    <w:p>
      <w:pPr>
        <w:pStyle w:val="5"/>
        <w:spacing w:line="400" w:lineRule="exact"/>
        <w:ind w:firstLine="360" w:firstLineChars="150"/>
        <w:rPr>
          <w:rFonts w:ascii="方正仿宋_GBK" w:hAnsi="宋体" w:eastAsia="方正仿宋_GBK"/>
          <w:sz w:val="24"/>
        </w:rPr>
      </w:pPr>
      <w:r>
        <w:rPr>
          <w:rFonts w:hint="eastAsia" w:ascii="方正仿宋_GBK" w:hAnsi="宋体" w:eastAsia="方正仿宋_GBK"/>
          <w:sz w:val="24"/>
        </w:rPr>
        <w:t>（二）交货/实施地点</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重庆城市管理职业学院围墙。</w:t>
      </w:r>
    </w:p>
    <w:p>
      <w:pPr>
        <w:pStyle w:val="5"/>
        <w:spacing w:line="400" w:lineRule="exact"/>
        <w:ind w:firstLine="360" w:firstLineChars="150"/>
        <w:rPr>
          <w:rFonts w:ascii="方正仿宋_GBK" w:hAnsi="宋体" w:eastAsia="方正仿宋_GBK"/>
          <w:sz w:val="24"/>
        </w:rPr>
      </w:pPr>
      <w:r>
        <w:rPr>
          <w:rFonts w:hint="eastAsia" w:ascii="方正仿宋_GBK" w:hAnsi="宋体" w:eastAsia="方正仿宋_GBK"/>
          <w:sz w:val="24"/>
        </w:rPr>
        <w:t>（三）验收方式</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1.货物到达现场后，供应商应经采购人或其指定验收单位清点品名、规格、数量；检查外观，作出验收记录，双方签字确认。</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2.供应商应保证货物到达用户所在地完好无损，如有缺漏、损坏，由供应商负责调换、补齐或赔偿。</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3.供应商应提供完备的技术资料、装箱单和合格证等，并派遣专业技术人员进行现场安装调试。验收合格条件如下：</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3.1设备品种、规格、数量、技术参数以及商品品牌、制造商等与采购合同一致，性能指标达到规定的标准。</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3.2货物技术资料、装箱单、合格证等资料齐全。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3.3在规定时间内完成交货并验收，并经采购人确认。</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4.供应商提供的货物未达到采购规定要求，且对采购人造成损失的，由供应商承担一切责任，并赔偿所造成的损失。</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5.大型或者复杂的政府采购产品项目，采购人可邀请国家认可的质量检测机构参加验收工作。</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w:t>
      </w:r>
    </w:p>
    <w:p>
      <w:pPr>
        <w:pStyle w:val="2"/>
        <w:spacing w:before="0" w:after="0" w:line="440" w:lineRule="exact"/>
        <w:rPr>
          <w:rFonts w:ascii="方正仿宋_GBK" w:hAnsi="宋体" w:eastAsia="方正仿宋_GBK"/>
          <w:sz w:val="24"/>
          <w:szCs w:val="24"/>
        </w:rPr>
      </w:pPr>
      <w:r>
        <w:rPr>
          <w:rFonts w:hint="eastAsia" w:ascii="方正仿宋_GBK" w:hAnsi="宋体" w:eastAsia="方正仿宋_GBK"/>
          <w:sz w:val="24"/>
          <w:szCs w:val="24"/>
        </w:rPr>
        <w:t>二、质量保证及售后服务</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（一）产品质量保证期</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1.自验收合格之日起，提供1年免费质保期。</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2.采购货物属于国家规定“三包”范围的，其产品质量保证期不得低于“三包”规定。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4.采购货物由制造商（指产品生产制造商，或其负责销售、售后服务机构，以下同）负责标准售后服务的，应当在响应文件中予以明确说明,并附制造商售后服务承诺。</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（二）售后服务内容</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供应商和制造商在质量保证期内应当为采购人提供以下技术支持服务：</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1.质量保证期内服务要求</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1.1电话咨询</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成交供应商和制造商应当为用户提供技术援助电话，解答用户在使用中遇到的问题，及时为用户提出解决问题的建议。</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1.2现场响应</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用户遇到使用及技术问题，电话咨询不能解决的，成交供应商或制造商应在24小时内采取相应响应措施；无法在24小时内解决的，应在48小时内派出专业人员进行技术支持。</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2.1质量保证期过后，成交供应商和制造商应同样提供免费电话咨询服务，并应承诺提供产品上门维护服务。</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2.2质量保证期过后，采购人需要继续由原成交供应商和制造商提供售后服务的，成交供应商和制造商应以优惠价格提供售后服务。</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（三）故障响应时间要求</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供应商接到使用方产品出现问题的通知后立即作出响应，2小时内到达现场进行处理。</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（四）维修配件</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成交供应商或制造商应提供备品备件，保证用户应急所需。使用的维修零配件应为原厂配件，未经用户同意不得使用非原厂配件。</w:t>
      </w:r>
    </w:p>
    <w:p>
      <w:pPr>
        <w:pStyle w:val="2"/>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三、报价要求</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报价须为人民币报价，包括完成本项目所需的货物、服务与工程及各种应纳的税费。因成交供应商自身原因造成漏报、少报皆由其自行承担责任，采购人不再补偿。</w:t>
      </w:r>
    </w:p>
    <w:p>
      <w:pPr>
        <w:pStyle w:val="3"/>
        <w:adjustRightInd w:val="0"/>
        <w:snapToGrid w:val="0"/>
        <w:spacing w:before="0" w:after="0" w:line="400" w:lineRule="exact"/>
        <w:rPr>
          <w:rFonts w:ascii="方正仿宋_GBK" w:eastAsia="方正仿宋_GBK" w:cs="Times New Roman"/>
          <w:sz w:val="24"/>
          <w:szCs w:val="24"/>
        </w:rPr>
      </w:pPr>
      <w:bookmarkStart w:id="1" w:name="_Toc75793512"/>
      <w:bookmarkStart w:id="2" w:name="_Toc267320051"/>
      <w:r>
        <w:rPr>
          <w:rFonts w:hint="eastAsia" w:ascii="方正仿宋_GBK" w:eastAsia="方正仿宋_GBK" w:cs="Times New Roman"/>
          <w:sz w:val="24"/>
          <w:szCs w:val="24"/>
        </w:rPr>
        <w:t>四、付款方式</w:t>
      </w:r>
      <w:bookmarkEnd w:id="1"/>
      <w:bookmarkEnd w:id="2"/>
    </w:p>
    <w:p>
      <w:pPr>
        <w:spacing w:line="400" w:lineRule="exact"/>
        <w:ind w:firstLine="720" w:firstLineChars="300"/>
        <w:rPr>
          <w:rFonts w:ascii="方正仿宋_GBK" w:hAnsi="宋体" w:eastAsia="方正仿宋_GBK"/>
          <w:sz w:val="24"/>
        </w:rPr>
      </w:pPr>
      <w:r>
        <w:rPr>
          <w:rFonts w:hint="eastAsia" w:ascii="方正仿宋_GBK" w:hAnsi="宋体" w:eastAsia="方正仿宋_GBK"/>
          <w:sz w:val="24"/>
        </w:rPr>
        <w:t>（一）</w:t>
      </w:r>
      <w:r>
        <w:rPr>
          <w:rFonts w:hint="eastAsia" w:ascii="仿宋" w:hAnsi="仿宋" w:eastAsia="仿宋" w:cs="仿宋"/>
          <w:sz w:val="24"/>
        </w:rPr>
        <w:t>货物类：</w:t>
      </w:r>
      <w:r>
        <w:rPr>
          <w:rFonts w:hint="eastAsia" w:ascii="方正仿宋_GBK" w:hAnsi="宋体" w:eastAsia="方正仿宋_GBK"/>
          <w:sz w:val="24"/>
        </w:rPr>
        <w:t>验收合格后，成交供应商向采购人提供增值税普通（或专用）发票，采购人向成交供应商支付合同全款；</w:t>
      </w:r>
    </w:p>
    <w:p>
      <w:pPr>
        <w:pStyle w:val="2"/>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五、知识产权及保密要求</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1.供应商应当保证其有关履行本合同的任何行为不会侵犯任何第三方的知识产权。本项合同全部或任何部分的相关知识产权，包括相关权益，均归采购人所有。采购人将拥有本协议项目下所有成果的完整知识产权。如果第三方提出侵权指控，供应商应承担由此而引起的一切法律责任和费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注：（若涉及软件开发等服务类项目知识产权的，知识产权归采购人所有）。</w:t>
      </w:r>
    </w:p>
    <w:p>
      <w:pPr>
        <w:pStyle w:val="2"/>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六、培训</w:t>
      </w:r>
    </w:p>
    <w:p>
      <w:pPr>
        <w:snapToGrid w:val="0"/>
        <w:spacing w:line="400" w:lineRule="exact"/>
        <w:ind w:firstLine="540"/>
        <w:rPr>
          <w:rFonts w:ascii="方正仿宋_GBK" w:hAnsi="宋体" w:eastAsia="方正仿宋_GBK"/>
          <w:sz w:val="24"/>
        </w:rPr>
      </w:pPr>
      <w:r>
        <w:rPr>
          <w:rFonts w:hint="eastAsia" w:ascii="方正仿宋_GBK" w:hAnsi="宋体" w:eastAsia="方正仿宋_GBK"/>
          <w:sz w:val="24"/>
        </w:rPr>
        <w:t>成交供应商须提供对设备的操作培训，使相关使用人员能够正常操作相关设备。</w:t>
      </w:r>
    </w:p>
    <w:p>
      <w:pPr>
        <w:pStyle w:val="2"/>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七、其他</w:t>
      </w:r>
    </w:p>
    <w:p>
      <w:pPr>
        <w:snapToGrid w:val="0"/>
        <w:spacing w:line="400" w:lineRule="exact"/>
        <w:ind w:firstLine="540"/>
        <w:rPr>
          <w:rFonts w:ascii="方正仿宋_GBK" w:eastAsia="方正仿宋_GBK"/>
          <w:sz w:val="24"/>
        </w:rPr>
      </w:pPr>
      <w:r>
        <w:rPr>
          <w:rFonts w:hint="eastAsia" w:ascii="方正仿宋_GBK" w:eastAsia="方正仿宋_GBK"/>
          <w:sz w:val="24"/>
        </w:rPr>
        <w:t>（一）供应商必须在响应文件中对以上条款和服务承诺明确列出，承诺内容必须达到本篇及其他条款要求。</w:t>
      </w:r>
    </w:p>
    <w:p>
      <w:pPr>
        <w:ind w:firstLine="480" w:firstLineChars="200"/>
        <w:rPr>
          <w:rFonts w:ascii="方正仿宋_GBK" w:eastAsia="方正仿宋_GBK"/>
          <w:sz w:val="24"/>
        </w:rPr>
        <w:sectPr>
          <w:pgSz w:w="11906" w:h="16838"/>
          <w:pgMar w:top="1157" w:right="1134" w:bottom="1157" w:left="1134" w:header="851" w:footer="992" w:gutter="0"/>
          <w:cols w:space="720" w:num="1"/>
          <w:docGrid w:type="lines" w:linePitch="312" w:charSpace="0"/>
        </w:sectPr>
      </w:pPr>
      <w:r>
        <w:rPr>
          <w:rFonts w:hint="eastAsia" w:ascii="方正仿宋_GBK" w:eastAsia="方正仿宋_GBK"/>
          <w:sz w:val="24"/>
        </w:rPr>
        <w:t>（二）其他未尽事宜由供需双方在采购合同中详细约定。</w:t>
      </w:r>
    </w:p>
    <w:bookmarkEnd w:id="0"/>
    <w:p>
      <w:pPr>
        <w:spacing w:line="500" w:lineRule="exact"/>
        <w:rPr>
          <w:rFonts w:ascii="方正仿宋_GBK" w:hAnsi="方正仿宋_GBK" w:eastAsia="方正仿宋_GBK" w:cs="方正仿宋_GBK"/>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MGQ0OWU2ZTA0NjkxNzJlZWUyZTVmYmE0YzlhMjAifQ=="/>
  </w:docVars>
  <w:rsids>
    <w:rsidRoot w:val="44487BEC"/>
    <w:rsid w:val="44487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paragraph" w:styleId="5">
    <w:name w:val="Body Text Indent 2"/>
    <w:basedOn w:val="1"/>
    <w:semiHidden/>
    <w:unhideWhenUsed/>
    <w:qFormat/>
    <w:uiPriority w:val="99"/>
    <w:pPr>
      <w:spacing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2022-06-24T01:41:00Z</dcterms:created>
  <dc:creator>Administrator</dc:creator>
  <cp:lastModifiedBy>Administrator</cp:lastModifiedBy>
  <dcterms:modified xsi:type="dcterms:W3CDTF">2022-06-24T01:42:51Z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A5A57C60D2F64BF88C172CE37F753B43</vt:lpwstr>
  </property>
</Properties>
</file>