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重庆城市管理职业学院校区扩建工程——重庆市养老产业人才培养公共实训基地、教学实训楼、供电系统10KV配电和主道路管网</w:t>
      </w:r>
    </w:p>
    <w:p>
      <w:pPr>
        <w:rPr>
          <w:rFonts w:hint="eastAsia" w:ascii="宋体" w:hAnsi="宋体"/>
          <w:bCs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</w:p>
    <w:p>
      <w:pPr>
        <w:pStyle w:val="2"/>
        <w:jc w:val="center"/>
        <w:rPr>
          <w:rFonts w:hint="eastAsia"/>
          <w:sz w:val="72"/>
          <w:szCs w:val="72"/>
        </w:rPr>
      </w:pPr>
    </w:p>
    <w:p>
      <w:pPr>
        <w:pStyle w:val="2"/>
        <w:jc w:val="center"/>
        <w:rPr>
          <w:rFonts w:hint="eastAsia"/>
          <w:sz w:val="72"/>
          <w:szCs w:val="72"/>
        </w:rPr>
      </w:pPr>
      <w:r>
        <w:rPr>
          <w:rFonts w:hint="eastAsia"/>
          <w:sz w:val="72"/>
          <w:szCs w:val="72"/>
        </w:rPr>
        <w:t>跟踪审计周报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第1周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2018年10月8日-10月12日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</w:p>
    <w:p>
      <w:pPr>
        <w:rPr>
          <w:rFonts w:hint="eastAsia" w:ascii="宋体" w:hAnsi="宋体"/>
          <w:b/>
          <w:bCs/>
          <w:sz w:val="28"/>
          <w:szCs w:val="28"/>
        </w:rPr>
      </w:pPr>
    </w:p>
    <w:p>
      <w:pPr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咨询单位：重庆信通工程造价咨询有限公司</w:t>
      </w:r>
    </w:p>
    <w:p>
      <w:pPr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编制日期：</w:t>
      </w:r>
      <w:r>
        <w:rPr>
          <w:rFonts w:ascii="宋体" w:hAnsi="宋体"/>
          <w:bCs/>
          <w:sz w:val="28"/>
          <w:szCs w:val="28"/>
        </w:rPr>
        <w:t>2018年</w:t>
      </w:r>
      <w:r>
        <w:rPr>
          <w:rFonts w:hint="eastAsia" w:ascii="宋体" w:hAnsi="宋体"/>
          <w:bCs/>
          <w:sz w:val="28"/>
          <w:szCs w:val="28"/>
        </w:rPr>
        <w:t>10月12日</w:t>
      </w:r>
    </w:p>
    <w:p/>
    <w:p>
      <w:pPr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重庆城市管理职业学院校区扩建工程——重庆市养老产业人才培养公共实训基地、教学实训楼、供电系统10KV配电和主道路管网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2018年10月8日-10月12日跟踪审计报告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</w:rPr>
      </w:pPr>
    </w:p>
    <w:p>
      <w:pPr>
        <w:pStyle w:val="10"/>
        <w:numPr>
          <w:ilvl w:val="0"/>
          <w:numId w:val="1"/>
        </w:numPr>
        <w:ind w:firstLineChars="0"/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工程概况</w:t>
      </w:r>
    </w:p>
    <w:p>
      <w:pPr>
        <w:ind w:firstLine="280" w:firstLineChars="10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本工程为重庆市城市管理职业学院校区扩建工程--重庆市养老产业人才培养公共实训基地、教学实训楼、供电系统10KV配电和主道路管网。</w:t>
      </w:r>
    </w:p>
    <w:p>
      <w:pPr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1、重庆市养老产业人才培养公共实训基地、教学实训楼</w:t>
      </w:r>
    </w:p>
    <w:p>
      <w:pPr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建设地点为重庆市沙坪坝区城市管理职业学院，总建筑面积约为39075.90m</w:t>
      </w:r>
      <w:r>
        <w:rPr>
          <w:rFonts w:hint="eastAsia" w:ascii="宋体" w:hAnsi="宋体"/>
          <w:bCs/>
          <w:sz w:val="28"/>
          <w:szCs w:val="28"/>
          <w:vertAlign w:val="superscript"/>
        </w:rPr>
        <w:t>2</w:t>
      </w:r>
      <w:r>
        <w:rPr>
          <w:rFonts w:hint="eastAsia" w:ascii="宋体" w:hAnsi="宋体"/>
          <w:bCs/>
          <w:sz w:val="28"/>
          <w:szCs w:val="28"/>
        </w:rPr>
        <w:t>，结构类型为框架结构。建设单位为重庆市管理职业学院，施工单位为重庆洪源建筑集团有限公司。</w:t>
      </w:r>
    </w:p>
    <w:p>
      <w:pPr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2、供电系统（10KV配电）</w:t>
      </w:r>
    </w:p>
    <w:p>
      <w:pPr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建设地点为重庆市沙坪坝区城市管理职业学院，设单位为重庆市管理职业学院，施工单位为重庆三峡水利电力建设有限公司。</w:t>
      </w:r>
    </w:p>
    <w:p>
      <w:pPr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3、主道路管网</w:t>
      </w:r>
    </w:p>
    <w:p>
      <w:pPr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建设地点为重庆市沙坪坝区城市管理职业学院，设单位为重庆市管理职业学院，施工单位为重庆建工第八建设有限责任公司。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跟踪审计情况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项目组成人员</w:t>
      </w:r>
    </w:p>
    <w:p>
      <w:pPr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项目负责人：杨富奎</w:t>
      </w:r>
    </w:p>
    <w:p>
      <w:pPr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现场人员：许潇云、周雪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督促委托人严格执行基本建设程序及基本建设管理制度。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协助委托人进行各类合同的谈判、管理，对工程造价相关资料进行收集、管理。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负责工程竣工结算审核。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测算合同中的暂定金额，对暂定金额提出书面咨询意见。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对工程变更进行分析和认证，测算增(减)的造价，向委托人提供咨询意见。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参与现场收方，对各类收方和签证的合规性、及时性、完整性、真实性提出审核意见。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参加与造价密切相关的隐蔽工程验收、工程阶段性验收、单位工程的竣工验收。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分析工程索赔依据，防止或减少工程索赔事件的发生。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参加建设单位、监理单位、施工单位的工作联系例会（如监理例会、设计交底会、现场洽商会等），及时掌握施工过程中对造价的影响情况。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本周跟踪审计记录情况</w:t>
      </w:r>
    </w:p>
    <w:p>
      <w:pPr>
        <w:pStyle w:val="10"/>
        <w:numPr>
          <w:ilvl w:val="0"/>
          <w:numId w:val="3"/>
        </w:numPr>
        <w:ind w:left="720" w:firstLine="0" w:firstLineChars="0"/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本周对养老产业人才培养公共实训基地、教学实训楼的</w:t>
      </w:r>
      <w:r>
        <w:rPr>
          <w:rFonts w:hint="eastAsia" w:ascii="宋体" w:hAnsi="宋体"/>
          <w:bCs/>
          <w:sz w:val="28"/>
          <w:szCs w:val="28"/>
          <w:lang w:val="en-US" w:eastAsia="zh-CN"/>
        </w:rPr>
        <w:t>超前钻</w:t>
      </w:r>
      <w:r>
        <w:rPr>
          <w:rFonts w:hint="eastAsia" w:ascii="宋体" w:hAnsi="宋体"/>
          <w:bCs/>
          <w:sz w:val="28"/>
          <w:szCs w:val="28"/>
        </w:rPr>
        <w:t>进行了收方，总共钻孔为39个，收了37个，其中两个被挖掘机埋没因此未收方。</w:t>
      </w:r>
    </w:p>
    <w:tbl>
      <w:tblPr>
        <w:tblStyle w:val="7"/>
        <w:tblW w:w="6834" w:type="dxa"/>
        <w:tblInd w:w="7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9"/>
        <w:gridCol w:w="34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钻孔号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钻深（m）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1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17.5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16.7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3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16.7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4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5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6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7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8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21.9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9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10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21.9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12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13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14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23.9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15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22.9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16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24.7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17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25.2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18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28.4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19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22.9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20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20.8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21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22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23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22.9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24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25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24.4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26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25.6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27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24.9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28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26.8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31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21.8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32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33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34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23.7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35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29.2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36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30.2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37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33.3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38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31.7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9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39</w:t>
            </w:r>
          </w:p>
        </w:tc>
        <w:tc>
          <w:tcPr>
            <w:tcW w:w="3435" w:type="dxa"/>
          </w:tcPr>
          <w:p>
            <w:pPr>
              <w:pStyle w:val="10"/>
              <w:ind w:firstLine="0" w:firstLineChars="0"/>
              <w:jc w:val="center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35.4</w:t>
            </w:r>
          </w:p>
        </w:tc>
      </w:tr>
    </w:tbl>
    <w:p>
      <w:pPr>
        <w:pStyle w:val="10"/>
        <w:ind w:left="720" w:firstLine="0" w:firstLineChars="0"/>
        <w:jc w:val="left"/>
        <w:rPr>
          <w:rFonts w:hint="eastAsia" w:ascii="宋体" w:hAnsi="宋体" w:eastAsia="宋体"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Cs/>
          <w:sz w:val="28"/>
          <w:szCs w:val="28"/>
        </w:rPr>
        <w:t>29号、30号</w:t>
      </w:r>
      <w:r>
        <w:rPr>
          <w:rFonts w:hint="eastAsia" w:ascii="宋体" w:hAnsi="宋体"/>
          <w:bCs/>
          <w:sz w:val="28"/>
          <w:szCs w:val="28"/>
          <w:lang w:val="en-US" w:eastAsia="zh-CN"/>
        </w:rPr>
        <w:t>钻孔</w:t>
      </w:r>
      <w:r>
        <w:rPr>
          <w:rFonts w:hint="eastAsia" w:ascii="宋体" w:hAnsi="宋体"/>
          <w:bCs/>
          <w:sz w:val="28"/>
          <w:szCs w:val="28"/>
        </w:rPr>
        <w:t>因被挖机埋没，未收方。</w:t>
      </w:r>
      <w:r>
        <w:rPr>
          <w:rFonts w:hint="eastAsia" w:ascii="宋体" w:hAnsi="宋体"/>
          <w:bCs/>
          <w:sz w:val="28"/>
          <w:szCs w:val="28"/>
          <w:lang w:val="en-US" w:eastAsia="zh-CN"/>
        </w:rPr>
        <w:t>根据勘察单位提供的钻孔时原始记录照片予以计量。</w:t>
      </w:r>
    </w:p>
    <w:p>
      <w:pPr>
        <w:pStyle w:val="10"/>
        <w:numPr>
          <w:ilvl w:val="0"/>
          <w:numId w:val="3"/>
        </w:numPr>
        <w:ind w:left="720" w:leftChars="0" w:firstLine="0" w:firstLineChars="0"/>
        <w:jc w:val="left"/>
        <w:rPr>
          <w:rFonts w:hint="eastAsia" w:ascii="宋体" w:hAnsi="宋体"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Cs/>
          <w:sz w:val="28"/>
          <w:szCs w:val="28"/>
          <w:lang w:val="en-US" w:eastAsia="zh-CN"/>
        </w:rPr>
        <w:t>本周对基坑、基槽进行了验收，定于本周五下午两点半对基坑、基槽进行收方。</w:t>
      </w:r>
    </w:p>
    <w:p>
      <w:pPr>
        <w:pStyle w:val="10"/>
        <w:widowControl w:val="0"/>
        <w:numPr>
          <w:numId w:val="0"/>
        </w:numPr>
        <w:jc w:val="left"/>
        <w:rPr>
          <w:rFonts w:hint="eastAsia" w:ascii="宋体" w:hAnsi="宋体"/>
          <w:bCs/>
          <w:sz w:val="28"/>
          <w:szCs w:val="28"/>
          <w:lang w:val="en-US" w:eastAsia="zh-CN"/>
        </w:rPr>
      </w:pPr>
    </w:p>
    <w:p>
      <w:pPr>
        <w:pStyle w:val="10"/>
        <w:widowControl w:val="0"/>
        <w:numPr>
          <w:numId w:val="0"/>
        </w:numPr>
        <w:jc w:val="left"/>
        <w:rPr>
          <w:rFonts w:hint="eastAsia" w:ascii="宋体" w:hAnsi="宋体"/>
          <w:bCs/>
          <w:sz w:val="28"/>
          <w:szCs w:val="28"/>
          <w:lang w:val="en-US" w:eastAsia="zh-CN"/>
        </w:rPr>
      </w:pPr>
    </w:p>
    <w:p>
      <w:pPr>
        <w:pStyle w:val="10"/>
        <w:widowControl w:val="0"/>
        <w:numPr>
          <w:numId w:val="0"/>
        </w:numPr>
        <w:jc w:val="left"/>
        <w:rPr>
          <w:rFonts w:hint="eastAsia" w:ascii="宋体" w:hAnsi="宋体"/>
          <w:bCs/>
          <w:sz w:val="28"/>
          <w:szCs w:val="28"/>
          <w:lang w:val="en-US" w:eastAsia="zh-CN"/>
        </w:rPr>
      </w:pPr>
    </w:p>
    <w:p>
      <w:pPr>
        <w:pStyle w:val="10"/>
        <w:widowControl w:val="0"/>
        <w:numPr>
          <w:numId w:val="0"/>
        </w:numPr>
        <w:jc w:val="left"/>
        <w:rPr>
          <w:rFonts w:hint="eastAsia" w:ascii="宋体" w:hAnsi="宋体"/>
          <w:bCs/>
          <w:sz w:val="28"/>
          <w:szCs w:val="28"/>
          <w:lang w:val="en-US" w:eastAsia="zh-CN"/>
        </w:rPr>
      </w:pPr>
    </w:p>
    <w:p>
      <w:pPr>
        <w:pStyle w:val="10"/>
        <w:widowControl w:val="0"/>
        <w:numPr>
          <w:numId w:val="0"/>
        </w:numPr>
        <w:jc w:val="left"/>
        <w:rPr>
          <w:rFonts w:hint="eastAsia" w:ascii="宋体" w:hAnsi="宋体"/>
          <w:bCs/>
          <w:sz w:val="28"/>
          <w:szCs w:val="28"/>
          <w:lang w:val="en-US" w:eastAsia="zh-CN"/>
        </w:rPr>
      </w:pPr>
    </w:p>
    <w:p>
      <w:pPr>
        <w:pStyle w:val="10"/>
        <w:widowControl w:val="0"/>
        <w:numPr>
          <w:numId w:val="0"/>
        </w:numPr>
        <w:jc w:val="left"/>
        <w:rPr>
          <w:rFonts w:hint="eastAsia" w:ascii="宋体" w:hAnsi="宋体"/>
          <w:bCs/>
          <w:sz w:val="28"/>
          <w:szCs w:val="28"/>
          <w:lang w:val="en-US" w:eastAsia="zh-CN"/>
        </w:rPr>
      </w:pPr>
    </w:p>
    <w:p>
      <w:pPr>
        <w:pStyle w:val="10"/>
        <w:numPr>
          <w:ilvl w:val="0"/>
          <w:numId w:val="1"/>
        </w:numPr>
        <w:ind w:firstLineChars="0"/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本周工程形象进度照片</w:t>
      </w:r>
    </w:p>
    <w:p>
      <w:pPr>
        <w:pStyle w:val="10"/>
        <w:jc w:val="left"/>
        <w:rPr>
          <w:rFonts w:hint="eastAsia" w:ascii="宋体" w:hAnsi="宋体"/>
          <w:b/>
          <w:bCs/>
          <w:sz w:val="28"/>
          <w:szCs w:val="28"/>
        </w:rPr>
      </w:pPr>
    </w:p>
    <w:p>
      <w:pPr>
        <w:pStyle w:val="10"/>
        <w:ind w:left="720" w:firstLine="0" w:firstLineChars="0"/>
        <w:jc w:val="lef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drawing>
          <wp:inline distT="0" distB="0" distL="0" distR="0">
            <wp:extent cx="5486400" cy="3781425"/>
            <wp:effectExtent l="0" t="0" r="0" b="9525"/>
            <wp:docPr id="2" name="图片 1" descr="mmexport153914172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mmexport1539141724595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879" cy="378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drawing>
          <wp:inline distT="0" distB="0" distL="0" distR="0">
            <wp:extent cx="5271770" cy="3952875"/>
            <wp:effectExtent l="19050" t="0" r="4921" b="0"/>
            <wp:docPr id="3" name="图片 2" descr="mmexport153914172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mmexport1539141728176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drawing>
          <wp:inline distT="0" distB="0" distL="0" distR="0">
            <wp:extent cx="5271770" cy="4210050"/>
            <wp:effectExtent l="19050" t="0" r="4920" b="0"/>
            <wp:docPr id="4" name="图片 3" descr="mmexport153914173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mmexport1539141731836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5" name="图片 5" descr="20181012_11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81012_1114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6" name="图片 6" descr="20181012_11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81012_1114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72CCAAB"/>
    <w:multiLevelType w:val="singleLevel"/>
    <w:tmpl w:val="B72CCAA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5480E0D"/>
    <w:multiLevelType w:val="multilevel"/>
    <w:tmpl w:val="15480E0D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CCB7411"/>
    <w:multiLevelType w:val="multilevel"/>
    <w:tmpl w:val="3CCB7411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361AD"/>
    <w:rsid w:val="00125EEB"/>
    <w:rsid w:val="00254828"/>
    <w:rsid w:val="002E3E98"/>
    <w:rsid w:val="00331497"/>
    <w:rsid w:val="00527DF1"/>
    <w:rsid w:val="0058243B"/>
    <w:rsid w:val="00654F63"/>
    <w:rsid w:val="00660309"/>
    <w:rsid w:val="006C6EC4"/>
    <w:rsid w:val="00A05292"/>
    <w:rsid w:val="00A361AD"/>
    <w:rsid w:val="00AF47AF"/>
    <w:rsid w:val="00C009AE"/>
    <w:rsid w:val="00C52F86"/>
    <w:rsid w:val="00E27EB8"/>
    <w:rsid w:val="00E40322"/>
    <w:rsid w:val="00E44F22"/>
    <w:rsid w:val="00ED6690"/>
    <w:rsid w:val="00F35E88"/>
    <w:rsid w:val="7714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8"/>
    <w:semiHidden/>
    <w:unhideWhenUsed/>
    <w:uiPriority w:val="99"/>
    <w:pPr>
      <w:ind w:left="100" w:leftChars="2500"/>
    </w:pPr>
  </w:style>
  <w:style w:type="paragraph" w:styleId="4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日期 Char"/>
    <w:basedOn w:val="5"/>
    <w:link w:val="3"/>
    <w:semiHidden/>
    <w:uiPriority w:val="99"/>
    <w:rPr>
      <w:rFonts w:ascii="Times New Roman" w:hAnsi="Times New Roman" w:eastAsia="宋体" w:cs="Times New Roman"/>
      <w:szCs w:val="21"/>
    </w:rPr>
  </w:style>
  <w:style w:type="character" w:customStyle="1" w:styleId="9">
    <w:name w:val="标题 1 Char"/>
    <w:basedOn w:val="5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5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218</Words>
  <Characters>1249</Characters>
  <Lines>10</Lines>
  <Paragraphs>2</Paragraphs>
  <TotalTime>5</TotalTime>
  <ScaleCrop>false</ScaleCrop>
  <LinksUpToDate>false</LinksUpToDate>
  <CharactersWithSpaces>1465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2018-10-11T05:45:00Z</dcterms:created>
  <dc:creator>Administrator</dc:creator>
  <cp:lastModifiedBy>urnotann</cp:lastModifiedBy>
  <dcterms:modified xsi:type="dcterms:W3CDTF">2018-10-12T05:36:04Z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