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jc w:val="left"/>
        <w:rPr>
          <w:rFonts w:hint="eastAsia" w:ascii="Times New Roman" w:hAnsi="Times New Roman" w:eastAsia="仿宋_GB2312"/>
          <w:color w:val="000000" w:themeColor="text1"/>
          <w:szCs w:val="21"/>
          <w:lang w:val="en-US" w:eastAsia="zh-CN"/>
          <w14:textFill>
            <w14:solidFill>
              <w14:schemeClr w14:val="tx1"/>
            </w14:solidFill>
          </w14:textFill>
        </w:rPr>
      </w:pPr>
    </w:p>
    <w:p>
      <w:pPr>
        <w:pStyle w:val="7"/>
        <w:shd w:val="clear" w:color="auto" w:fill="FFFFFF"/>
        <w:jc w:val="center"/>
        <w:rPr>
          <w:rFonts w:hint="default" w:ascii="Times New Roman" w:hAnsi="Times New Roman" w:eastAsia="方正小标宋_GBK"/>
          <w:color w:val="000000" w:themeColor="text1"/>
          <w:kern w:val="0"/>
          <w:sz w:val="36"/>
          <w:szCs w:val="36"/>
          <w14:textFill>
            <w14:solidFill>
              <w14:schemeClr w14:val="tx1"/>
            </w14:solidFill>
          </w14:textFill>
        </w:rPr>
      </w:pPr>
      <w:bookmarkStart w:id="2" w:name="_GoBack"/>
      <w:bookmarkEnd w:id="2"/>
      <w:r>
        <w:rPr>
          <w:rFonts w:hint="default" w:ascii="Times New Roman" w:hAnsi="Times New Roman" w:eastAsia="方正小标宋_GBK"/>
          <w:color w:val="000000" w:themeColor="text1"/>
          <w:kern w:val="0"/>
          <w:sz w:val="36"/>
          <w:szCs w:val="36"/>
          <w:lang w:val="en-US" w:eastAsia="zh-CN"/>
          <w14:textFill>
            <w14:solidFill>
              <w14:schemeClr w14:val="tx1"/>
            </w14:solidFill>
          </w14:textFill>
        </w:rPr>
        <w:t>思政工作创新发展中心办公区域定制窗帘</w:t>
      </w:r>
      <w:r>
        <w:rPr>
          <w:rFonts w:hint="default" w:ascii="Times New Roman" w:hAnsi="Times New Roman" w:eastAsia="方正小标宋_GBK"/>
          <w:color w:val="000000" w:themeColor="text1"/>
          <w:kern w:val="0"/>
          <w:sz w:val="36"/>
          <w:szCs w:val="36"/>
          <w14:textFill>
            <w14:solidFill>
              <w14:schemeClr w14:val="tx1"/>
            </w14:solidFill>
          </w14:textFill>
        </w:rPr>
        <w:t>采购清单及预算（货物类）</w:t>
      </w:r>
    </w:p>
    <w:p>
      <w:pPr>
        <w:pStyle w:val="7"/>
        <w:shd w:val="clear" w:color="auto" w:fill="FFFFFF"/>
        <w:rPr>
          <w:rFonts w:hint="default" w:ascii="Times New Roman" w:hAnsi="Times New Roman" w:eastAsia="仿宋_GB2312"/>
          <w:color w:val="000000" w:themeColor="text1"/>
          <w:kern w:val="0"/>
          <w:sz w:val="20"/>
          <w:szCs w:val="20"/>
          <w14:textFill>
            <w14:solidFill>
              <w14:schemeClr w14:val="tx1"/>
            </w14:solidFill>
          </w14:textFill>
        </w:rPr>
      </w:pPr>
      <w:r>
        <w:rPr>
          <w:rFonts w:hint="default" w:ascii="Times New Roman" w:hAnsi="Times New Roman" w:eastAsia="仿宋_GB2312"/>
          <w:color w:val="000000" w:themeColor="text1"/>
          <w:kern w:val="0"/>
          <w:sz w:val="24"/>
          <w14:textFill>
            <w14:solidFill>
              <w14:schemeClr w14:val="tx1"/>
            </w14:solidFill>
          </w14:textFill>
        </w:rPr>
        <w:t xml:space="preserve">计量单位：套、台、个、张              </w:t>
      </w:r>
      <w:r>
        <w:rPr>
          <w:rFonts w:hint="eastAsia" w:ascii="Times New Roman" w:hAnsi="Times New Roman" w:eastAsia="仿宋_GB2312"/>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olor w:val="000000" w:themeColor="text1"/>
          <w:kern w:val="0"/>
          <w:sz w:val="24"/>
          <w14:textFill>
            <w14:solidFill>
              <w14:schemeClr w14:val="tx1"/>
            </w14:solidFill>
          </w14:textFill>
        </w:rPr>
        <w:t>计价单位：元</w:t>
      </w:r>
    </w:p>
    <w:tbl>
      <w:tblPr>
        <w:tblStyle w:val="10"/>
        <w:tblW w:w="13712" w:type="dxa"/>
        <w:jc w:val="center"/>
        <w:tblLayout w:type="fixed"/>
        <w:tblCellMar>
          <w:top w:w="0" w:type="dxa"/>
          <w:left w:w="108" w:type="dxa"/>
          <w:bottom w:w="0" w:type="dxa"/>
          <w:right w:w="108" w:type="dxa"/>
        </w:tblCellMar>
      </w:tblPr>
      <w:tblGrid>
        <w:gridCol w:w="790"/>
        <w:gridCol w:w="2304"/>
        <w:gridCol w:w="2468"/>
        <w:gridCol w:w="4610"/>
        <w:gridCol w:w="872"/>
        <w:gridCol w:w="1050"/>
        <w:gridCol w:w="1618"/>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产品名称</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参考图片</w:t>
            </w:r>
          </w:p>
        </w:tc>
        <w:tc>
          <w:tcPr>
            <w:tcW w:w="4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黑体"/>
                <w:color w:val="000000" w:themeColor="text1"/>
                <w:kern w:val="0"/>
                <w:sz w:val="24"/>
                <w:lang w:eastAsia="zh-CN"/>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主要技术参数及功能要求</w:t>
            </w:r>
            <w:r>
              <w:rPr>
                <w:rFonts w:hint="eastAsia" w:ascii="Times New Roman" w:hAnsi="Times New Roman" w:eastAsia="黑体"/>
                <w:color w:val="000000" w:themeColor="text1"/>
                <w:kern w:val="0"/>
                <w:sz w:val="24"/>
                <w:lang w:eastAsia="zh-CN"/>
                <w14:textFill>
                  <w14:solidFill>
                    <w14:schemeClr w14:val="tx1"/>
                  </w14:solidFill>
                </w14:textFill>
              </w:rPr>
              <w:t>（包括性能、材料、结构、外观、安全）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olor w:val="000000" w:themeColor="text1"/>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单价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合计</w:t>
            </w:r>
            <w:r>
              <w:rPr>
                <w:rFonts w:hint="default" w:ascii="Times New Roman" w:hAnsi="Times New Roman" w:eastAsia="黑体"/>
                <w:color w:val="000000" w:themeColor="text1"/>
                <w:kern w:val="0"/>
                <w:sz w:val="24"/>
                <w14:textFill>
                  <w14:solidFill>
                    <w14:schemeClr w14:val="tx1"/>
                  </w14:solidFill>
                </w14:textFill>
              </w:rPr>
              <w:t>金额</w:t>
            </w:r>
          </w:p>
        </w:tc>
      </w:tr>
      <w:tr>
        <w:tblPrEx>
          <w:tblCellMar>
            <w:top w:w="0" w:type="dxa"/>
            <w:left w:w="108" w:type="dxa"/>
            <w:bottom w:w="0" w:type="dxa"/>
            <w:right w:w="108" w:type="dxa"/>
          </w:tblCellMar>
        </w:tblPrEx>
        <w:trPr>
          <w:trHeight w:val="261"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1</w:t>
            </w:r>
          </w:p>
        </w:tc>
        <w:tc>
          <w:tcPr>
            <w:tcW w:w="230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olor w:val="000000" w:themeColor="text1"/>
                <w:kern w:val="0"/>
                <w:sz w:val="24"/>
                <w:lang w:val="en-US" w:eastAsia="zh-CN"/>
                <w14:textFill>
                  <w14:solidFill>
                    <w14:schemeClr w14:val="tx1"/>
                  </w14:solidFill>
                </w14:textFill>
              </w:rPr>
            </w:pPr>
            <w:r>
              <w:rPr>
                <w:rFonts w:hint="eastAsia" w:ascii="Times New Roman" w:hAnsi="Times New Roman" w:eastAsia="黑体"/>
                <w:color w:val="000000" w:themeColor="text1"/>
                <w:kern w:val="0"/>
                <w:sz w:val="24"/>
                <w:lang w:val="en-US" w:eastAsia="zh-CN"/>
                <w14:textFill>
                  <w14:solidFill>
                    <w14:schemeClr w14:val="tx1"/>
                  </w14:solidFill>
                </w14:textFill>
              </w:rPr>
              <w:t>定制窗帘</w:t>
            </w:r>
          </w:p>
        </w:tc>
        <w:tc>
          <w:tcPr>
            <w:tcW w:w="246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olor w:val="000000" w:themeColor="text1"/>
                <w:kern w:val="0"/>
                <w:sz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drawing>
                <wp:inline distT="0" distB="0" distL="114300" distR="114300">
                  <wp:extent cx="1375410" cy="1031875"/>
                  <wp:effectExtent l="0" t="0" r="1524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375410" cy="1031875"/>
                          </a:xfrm>
                          <a:prstGeom prst="rect">
                            <a:avLst/>
                          </a:prstGeom>
                          <a:noFill/>
                          <a:ln w="9525">
                            <a:noFill/>
                          </a:ln>
                        </pic:spPr>
                      </pic:pic>
                    </a:graphicData>
                  </a:graphic>
                </wp:inline>
              </w:drawing>
            </w:r>
            <w:r>
              <w:rPr>
                <w:rFonts w:hint="default" w:ascii="Times New Roman" w:hAnsi="Times New Roman" w:eastAsia="黑体"/>
                <w:color w:val="000000" w:themeColor="text1"/>
                <w:kern w:val="0"/>
                <w:sz w:val="24"/>
                <w14:textFill>
                  <w14:solidFill>
                    <w14:schemeClr w14:val="tx1"/>
                  </w14:solidFill>
                </w14:textFill>
              </w:rPr>
              <w:t>　</w:t>
            </w:r>
          </w:p>
        </w:tc>
        <w:tc>
          <w:tcPr>
            <w:tcW w:w="4610"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因建筑构造，窗户均为落地窗，高度约3.8米，需为定制加长型窗帘（含遮光帘、纱帘、轨道、布带及挂钩等，确保可正常使用）。</w:t>
            </w:r>
          </w:p>
          <w:p>
            <w:pPr>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遮光帘要求：</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1.成份（%）：100%聚酯纤维；</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2.克重（g/㎡）：≥350；</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3.无异味</w:t>
            </w:r>
            <w:r>
              <w:rPr>
                <w:rFonts w:hint="eastAsia" w:ascii="Times New Roman" w:hAnsi="Times New Roman"/>
                <w:color w:val="000000" w:themeColor="text1"/>
                <w:lang w:eastAsia="zh-CN"/>
                <w14:textFill>
                  <w14:solidFill>
                    <w14:schemeClr w14:val="tx1"/>
                  </w14:solidFill>
                </w14:textFill>
              </w:rPr>
              <w:t>、</w:t>
            </w:r>
            <w:r>
              <w:rPr>
                <w:rFonts w:hint="default" w:ascii="Times New Roman" w:hAnsi="Times New Roman"/>
                <w:color w:val="000000" w:themeColor="text1"/>
                <w14:textFill>
                  <w14:solidFill>
                    <w14:schemeClr w14:val="tx1"/>
                  </w14:solidFill>
                </w14:textFill>
              </w:rPr>
              <w:t>甲醛含量（mg/kg）：≤75；</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 xml:space="preserve">4.PH值：4.0-9.0；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5.可分解芳香胺染料（mg/kg）：≤20；</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w:t>
            </w:r>
            <w:r>
              <w:rPr>
                <w:rFonts w:hint="default" w:ascii="Times New Roman" w:hAnsi="Times New Roman"/>
                <w:color w:val="000000" w:themeColor="text1"/>
                <w14:textFill>
                  <w14:solidFill>
                    <w14:schemeClr w14:val="tx1"/>
                  </w14:solidFill>
                </w14:textFill>
              </w:rPr>
              <w:t>.遮光率（%）：≥</w:t>
            </w:r>
            <w:r>
              <w:rPr>
                <w:rFonts w:hint="eastAsia" w:ascii="Times New Roman" w:hAnsi="Times New Roman"/>
                <w:color w:val="000000" w:themeColor="text1"/>
                <w:lang w:val="en-US" w:eastAsia="zh-CN"/>
                <w14:textFill>
                  <w14:solidFill>
                    <w14:schemeClr w14:val="tx1"/>
                  </w14:solidFill>
                </w14:textFill>
              </w:rPr>
              <w:t>80</w:t>
            </w:r>
            <w:r>
              <w:rPr>
                <w:rFonts w:hint="default" w:ascii="Times New Roman" w:hAnsi="Times New Roman"/>
                <w:color w:val="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r>
              <w:rPr>
                <w:rFonts w:hint="default" w:ascii="Times New Roman" w:hAnsi="Times New Roman"/>
                <w:color w:val="000000" w:themeColor="text1"/>
                <w14:textFill>
                  <w14:solidFill>
                    <w14:schemeClr w14:val="tx1"/>
                  </w14:solidFill>
                </w14:textFill>
              </w:rPr>
              <w:t>.防紫外线性能：UPF＞50 ，T（UVA）≤1%，T（UVB）≤1%；</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8</w:t>
            </w:r>
            <w:r>
              <w:rPr>
                <w:rFonts w:hint="default" w:ascii="Times New Roman" w:hAnsi="Times New Roman"/>
                <w:color w:val="000000" w:themeColor="text1"/>
                <w14:textFill>
                  <w14:solidFill>
                    <w14:schemeClr w14:val="tx1"/>
                  </w14:solidFill>
                </w14:textFill>
              </w:rPr>
              <w:t>.重金属（mg/kg）：锑、砷、铅、铬、镉、钴、铜、镍都应小于国家规定的检出限值；</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9</w:t>
            </w:r>
            <w:r>
              <w:rPr>
                <w:rFonts w:hint="default" w:ascii="Times New Roman" w:hAnsi="Times New Roman"/>
                <w:color w:val="000000" w:themeColor="text1"/>
                <w14:textFill>
                  <w14:solidFill>
                    <w14:schemeClr w14:val="tx1"/>
                  </w14:solidFill>
                </w14:textFill>
              </w:rPr>
              <w:t>.阻燃性能：同时满足GB 20286-2006 1级和GB/T 17591-2006 B1级，氧指数≥32%，烟密度等级（SDR）≤15，产烟毒性等级不低于ZA2级。</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黑体"/>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（三）</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安装要求：</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现场测量、运输、安装等均由中标单位负责；</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材料、安装尺寸、安装方法风格统一、横平竖直，按采购方要求安装；窗帘下摆距离完成地面≤5cm，不拖地；窗帘轨道采用滑轨形式、吊装支座间距不大于0.7m；布带和窗帘之间需用工程线缝纫，遮光布均须做布带；窗帘合拢时中间交叉不少于10cm；安装后窗帘为“S”型摺。</w:t>
            </w:r>
          </w:p>
        </w:tc>
        <w:tc>
          <w:tcPr>
            <w:tcW w:w="872"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约200㎡（已实际测量为准）</w:t>
            </w:r>
            <w:r>
              <w:rPr>
                <w:rFonts w:hint="default" w:ascii="Times New Roman" w:hAnsi="Times New Roman"/>
                <w:color w:val="000000" w:themeColor="text1"/>
                <w:lang w:val="en-US" w:eastAsia="zh-CN"/>
                <w14:textFill>
                  <w14:solidFill>
                    <w14:schemeClr w14:val="tx1"/>
                  </w14:solidFill>
                </w14:textFill>
              </w:rPr>
              <w:t>　</w:t>
            </w:r>
          </w:p>
        </w:tc>
        <w:tc>
          <w:tcPr>
            <w:tcW w:w="1050"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190元</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（含遮光帘、纱帘及滑轨等费用）</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38000元</w:t>
            </w:r>
          </w:p>
        </w:tc>
      </w:tr>
      <w:tr>
        <w:tblPrEx>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合计</w:t>
            </w:r>
          </w:p>
        </w:tc>
        <w:tc>
          <w:tcPr>
            <w:tcW w:w="9382" w:type="dxa"/>
            <w:gridSpan w:val="3"/>
            <w:tcBorders>
              <w:top w:val="nil"/>
              <w:left w:val="nil"/>
              <w:bottom w:val="single" w:color="000000" w:sz="8" w:space="0"/>
              <w:right w:val="single" w:color="auto" w:sz="4" w:space="0"/>
            </w:tcBorders>
            <w:noWrap w:val="0"/>
            <w:vAlign w:val="center"/>
          </w:tcPr>
          <w:p>
            <w:pPr>
              <w:widowControl/>
              <w:jc w:val="left"/>
              <w:rPr>
                <w:rFonts w:hint="eastAsia" w:ascii="Times New Roman" w:hAnsi="Times New Roman" w:eastAsia="黑体"/>
                <w:color w:val="000000" w:themeColor="text1"/>
                <w:kern w:val="0"/>
                <w:sz w:val="24"/>
                <w:lang w:val="en-US" w:eastAsia="zh-CN"/>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人民币大写：</w:t>
            </w:r>
            <w:r>
              <w:rPr>
                <w:rFonts w:hint="eastAsia" w:ascii="Times New Roman" w:hAnsi="Times New Roman" w:eastAsia="黑体"/>
                <w:color w:val="000000" w:themeColor="text1"/>
                <w:kern w:val="0"/>
                <w:sz w:val="24"/>
                <w:lang w:val="en-US" w:eastAsia="zh-CN"/>
                <w14:textFill>
                  <w14:solidFill>
                    <w14:schemeClr w14:val="tx1"/>
                  </w14:solidFill>
                </w14:textFill>
              </w:rPr>
              <w:t>叁万捌仟元</w:t>
            </w:r>
          </w:p>
        </w:tc>
        <w:tc>
          <w:tcPr>
            <w:tcW w:w="872" w:type="dxa"/>
            <w:tcBorders>
              <w:top w:val="nil"/>
              <w:left w:val="single" w:color="auto" w:sz="4" w:space="0"/>
              <w:bottom w:val="single" w:color="000000" w:sz="8" w:space="0"/>
              <w:right w:val="single" w:color="auto" w:sz="4" w:space="0"/>
            </w:tcBorders>
            <w:noWrap w:val="0"/>
            <w:vAlign w:val="center"/>
          </w:tcPr>
          <w:p>
            <w:pPr>
              <w:widowControl/>
              <w:jc w:val="left"/>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　</w:t>
            </w:r>
          </w:p>
        </w:tc>
        <w:tc>
          <w:tcPr>
            <w:tcW w:w="1050" w:type="dxa"/>
            <w:tcBorders>
              <w:top w:val="nil"/>
              <w:left w:val="single" w:color="auto" w:sz="4" w:space="0"/>
              <w:bottom w:val="single" w:color="000000" w:sz="8" w:space="0"/>
              <w:right w:val="single" w:color="000000" w:sz="8" w:space="0"/>
            </w:tcBorders>
            <w:noWrap w:val="0"/>
            <w:vAlign w:val="center"/>
          </w:tcPr>
          <w:p>
            <w:pPr>
              <w:widowControl/>
              <w:jc w:val="left"/>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　</w:t>
            </w:r>
          </w:p>
        </w:tc>
        <w:tc>
          <w:tcPr>
            <w:tcW w:w="1618" w:type="dxa"/>
            <w:tcBorders>
              <w:top w:val="nil"/>
              <w:left w:val="nil"/>
              <w:bottom w:val="single" w:color="000000" w:sz="8" w:space="0"/>
              <w:right w:val="single" w:color="000000" w:sz="8" w:space="0"/>
            </w:tcBorders>
            <w:noWrap w:val="0"/>
            <w:vAlign w:val="top"/>
          </w:tcPr>
          <w:p>
            <w:pPr>
              <w:widowControl/>
              <w:jc w:val="left"/>
              <w:rPr>
                <w:rFonts w:hint="default" w:ascii="Times New Roman" w:hAnsi="Times New Roman" w:eastAsia="黑体"/>
                <w:color w:val="000000" w:themeColor="text1"/>
                <w:kern w:val="0"/>
                <w:sz w:val="24"/>
                <w14:textFill>
                  <w14:solidFill>
                    <w14:schemeClr w14:val="tx1"/>
                  </w14:solidFill>
                </w14:textFill>
              </w:rPr>
            </w:pPr>
            <w:r>
              <w:rPr>
                <w:rFonts w:hint="default" w:ascii="Times New Roman" w:hAnsi="Times New Roman" w:eastAsia="黑体"/>
                <w:color w:val="000000" w:themeColor="text1"/>
                <w:kern w:val="0"/>
                <w:sz w:val="24"/>
                <w14:textFill>
                  <w14:solidFill>
                    <w14:schemeClr w14:val="tx1"/>
                  </w14:solidFill>
                </w14:textFill>
              </w:rPr>
              <w:t>　</w:t>
            </w:r>
          </w:p>
        </w:tc>
      </w:tr>
    </w:tbl>
    <w:p>
      <w:pPr>
        <w:widowControl/>
        <w:jc w:val="center"/>
        <w:rPr>
          <w:rFonts w:hint="default" w:ascii="Times New Roman" w:hAnsi="Times New Roman" w:eastAsia="方正小标宋_GBK"/>
          <w:color w:val="000000" w:themeColor="text1"/>
          <w:kern w:val="0"/>
          <w:sz w:val="36"/>
          <w:szCs w:val="36"/>
          <w14:textFill>
            <w14:solidFill>
              <w14:schemeClr w14:val="tx1"/>
            </w14:solidFill>
          </w14:textFill>
        </w:rPr>
      </w:pPr>
    </w:p>
    <w:p>
      <w:pPr>
        <w:rPr>
          <w:rFonts w:hint="eastAsia" w:ascii="Times New Roman" w:hAnsi="Times New Roman" w:eastAsia="方正仿宋_GBK" w:cs="方正仿宋_GBK"/>
          <w:color w:val="000000" w:themeColor="text1"/>
          <w:sz w:val="32"/>
          <w:szCs w:val="32"/>
          <w14:textFill>
            <w14:solidFill>
              <w14:schemeClr w14:val="tx1"/>
            </w14:solidFill>
          </w14:textFill>
        </w:rPr>
        <w:sectPr>
          <w:footerReference r:id="rId3" w:type="default"/>
          <w:pgSz w:w="16838" w:h="11906" w:orient="landscape"/>
          <w:pgMar w:top="1134" w:right="1157" w:bottom="1134" w:left="1157" w:header="851" w:footer="992" w:gutter="0"/>
          <w:cols w:space="720" w:num="1"/>
          <w:docGrid w:type="lines" w:linePitch="312" w:charSpace="0"/>
        </w:sectPr>
      </w:pPr>
    </w:p>
    <w:p>
      <w:pPr>
        <w:pStyle w:val="7"/>
        <w:shd w:val="clear" w:color="auto" w:fill="FFFFFF"/>
        <w:spacing w:line="360" w:lineRule="auto"/>
        <w:jc w:val="center"/>
        <w:rPr>
          <w:rFonts w:hint="eastAsia" w:ascii="Times New Roman" w:hAnsi="Times New Roman" w:eastAsia="方正小标宋_GBK" w:cs="Times New Roman"/>
          <w:color w:val="000000" w:themeColor="text1"/>
          <w:kern w:val="0"/>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kern w:val="0"/>
          <w:sz w:val="36"/>
          <w:szCs w:val="36"/>
          <w:lang w:val="en-US" w:eastAsia="zh-CN"/>
          <w14:textFill>
            <w14:solidFill>
              <w14:schemeClr w14:val="tx1"/>
            </w14:solidFill>
          </w14:textFill>
        </w:rPr>
        <w:t>项目商务需求方案</w:t>
      </w:r>
    </w:p>
    <w:p>
      <w:pPr>
        <w:pStyle w:val="6"/>
        <w:spacing w:before="0" w:after="0" w:line="440" w:lineRule="exact"/>
        <w:rPr>
          <w:rFonts w:hint="eastAsia" w:ascii="Times New Roman" w:hAnsi="Times New Roman" w:eastAsia="方正仿宋_GBK"/>
          <w:color w:val="000000" w:themeColor="text1"/>
          <w:sz w:val="24"/>
          <w:szCs w:val="24"/>
          <w14:textFill>
            <w14:solidFill>
              <w14:schemeClr w14:val="tx1"/>
            </w14:solidFill>
          </w14:textFill>
        </w:rPr>
      </w:pPr>
    </w:p>
    <w:p>
      <w:pPr>
        <w:pStyle w:val="6"/>
        <w:pageBreakBefore w:val="0"/>
        <w:widowControl w:val="0"/>
        <w:kinsoku/>
        <w:wordWrap/>
        <w:overflowPunct/>
        <w:topLinePunct w:val="0"/>
        <w:autoSpaceDE/>
        <w:autoSpaceDN/>
        <w:bidi w:val="0"/>
        <w:spacing w:before="0" w:after="0" w:line="400" w:lineRule="exact"/>
        <w:textAlignment w:val="auto"/>
        <w:rPr>
          <w:rFonts w:hint="default"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一、</w:t>
      </w:r>
      <w:r>
        <w:rPr>
          <w:rFonts w:hint="eastAsia" w:ascii="Times New Roman" w:hAnsi="Times New Roman" w:eastAsia="方正仿宋_GBK"/>
          <w:color w:val="000000" w:themeColor="text1"/>
          <w:sz w:val="24"/>
          <w:szCs w:val="24"/>
          <w:lang w:eastAsia="zh-CN"/>
          <w14:textFill>
            <w14:solidFill>
              <w14:schemeClr w14:val="tx1"/>
            </w14:solidFill>
          </w14:textFill>
        </w:rPr>
        <w:t>交货</w:t>
      </w:r>
      <w:r>
        <w:rPr>
          <w:rFonts w:hint="eastAsia" w:ascii="Times New Roman" w:hAnsi="Times New Roman" w:eastAsia="方正仿宋_GBK"/>
          <w:color w:val="000000" w:themeColor="text1"/>
          <w:sz w:val="24"/>
          <w:szCs w:val="24"/>
          <w:lang w:val="en-US" w:eastAsia="zh-CN"/>
          <w14:textFill>
            <w14:solidFill>
              <w14:schemeClr w14:val="tx1"/>
            </w14:solidFill>
          </w14:textFill>
        </w:rPr>
        <w:t>/实施</w:t>
      </w:r>
      <w:r>
        <w:rPr>
          <w:rFonts w:hint="eastAsia" w:ascii="Times New Roman" w:hAnsi="Times New Roman" w:eastAsia="方正仿宋_GBK"/>
          <w:color w:val="000000" w:themeColor="text1"/>
          <w:sz w:val="24"/>
          <w:szCs w:val="24"/>
          <w14:textFill>
            <w14:solidFill>
              <w14:schemeClr w14:val="tx1"/>
            </w14:solidFill>
          </w14:textFill>
        </w:rPr>
        <w:t>时间、地点及验收方式</w:t>
      </w:r>
    </w:p>
    <w:p>
      <w:pPr>
        <w:pStyle w:val="8"/>
        <w:pageBreakBefore w:val="0"/>
        <w:widowControl w:val="0"/>
        <w:kinsoku/>
        <w:wordWrap/>
        <w:overflowPunct/>
        <w:topLinePunct w:val="0"/>
        <w:autoSpaceDE/>
        <w:autoSpaceDN/>
        <w:bidi w:val="0"/>
        <w:spacing w:line="400" w:lineRule="exact"/>
        <w:ind w:firstLine="360" w:firstLineChars="15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（一）</w:t>
      </w:r>
      <w:r>
        <w:rPr>
          <w:rFonts w:hint="eastAsia" w:ascii="Times New Roman" w:hAnsi="Times New Roman" w:eastAsia="方正仿宋_GBK"/>
          <w:color w:val="000000" w:themeColor="text1"/>
          <w:sz w:val="24"/>
          <w:szCs w:val="24"/>
          <w:lang w:eastAsia="zh-CN"/>
          <w14:textFill>
            <w14:solidFill>
              <w14:schemeClr w14:val="tx1"/>
            </w14:solidFill>
          </w14:textFill>
        </w:rPr>
        <w:t>交货</w:t>
      </w:r>
      <w:r>
        <w:rPr>
          <w:rFonts w:hint="eastAsia" w:ascii="Times New Roman" w:hAnsi="Times New Roman" w:eastAsia="方正仿宋_GBK"/>
          <w:color w:val="000000" w:themeColor="text1"/>
          <w:sz w:val="24"/>
          <w:szCs w:val="24"/>
          <w:lang w:val="en-US" w:eastAsia="zh-CN"/>
          <w14:textFill>
            <w14:solidFill>
              <w14:schemeClr w14:val="tx1"/>
            </w14:solidFill>
          </w14:textFill>
        </w:rPr>
        <w:t>/实施</w:t>
      </w:r>
      <w:r>
        <w:rPr>
          <w:rFonts w:hint="eastAsia" w:ascii="Times New Roman" w:hAnsi="Times New Roman" w:eastAsia="方正仿宋_GBK"/>
          <w:color w:val="000000" w:themeColor="text1"/>
          <w:sz w:val="24"/>
          <w:szCs w:val="24"/>
          <w14:textFill>
            <w14:solidFill>
              <w14:schemeClr w14:val="tx1"/>
            </w14:solidFill>
          </w14:textFill>
        </w:rPr>
        <w:t>时间</w:t>
      </w:r>
    </w:p>
    <w:p>
      <w:pPr>
        <w:pStyle w:val="8"/>
        <w:pageBreakBefore w:val="0"/>
        <w:widowControl w:val="0"/>
        <w:tabs>
          <w:tab w:val="left" w:pos="490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签订合同后</w:t>
      </w:r>
      <w:r>
        <w:rPr>
          <w:rFonts w:hint="eastAsia" w:ascii="Times New Roman" w:hAnsi="Times New Roman" w:eastAsia="方正仿宋_GBK"/>
          <w:color w:val="000000" w:themeColor="text1"/>
          <w:sz w:val="24"/>
          <w:szCs w:val="24"/>
          <w:lang w:val="en-US" w:eastAsia="zh-CN"/>
          <w14:textFill>
            <w14:solidFill>
              <w14:schemeClr w14:val="tx1"/>
            </w14:solidFill>
          </w14:textFill>
        </w:rPr>
        <w:t>1</w:t>
      </w:r>
      <w:r>
        <w:rPr>
          <w:rFonts w:hint="eastAsia" w:ascii="Times New Roman" w:hAnsi="Times New Roman" w:eastAsia="方正仿宋_GBK"/>
          <w:color w:val="000000" w:themeColor="text1"/>
          <w:sz w:val="24"/>
          <w:szCs w:val="24"/>
          <w14:textFill>
            <w14:solidFill>
              <w14:schemeClr w14:val="tx1"/>
            </w14:solidFill>
          </w14:textFill>
        </w:rPr>
        <w:t>0个日历日内交货，并完成安装调试</w:t>
      </w:r>
      <w:r>
        <w:rPr>
          <w:rFonts w:hint="eastAsia" w:ascii="Times New Roman" w:hAnsi="Times New Roman" w:eastAsia="方正仿宋_GBK"/>
          <w:color w:val="000000" w:themeColor="text1"/>
          <w:sz w:val="24"/>
          <w:szCs w:val="24"/>
          <w:lang w:eastAsia="zh-CN"/>
          <w14:textFill>
            <w14:solidFill>
              <w14:schemeClr w14:val="tx1"/>
            </w14:solidFill>
          </w14:textFill>
        </w:rPr>
        <w:t>并申请验收</w:t>
      </w:r>
      <w:r>
        <w:rPr>
          <w:rFonts w:hint="eastAsia" w:ascii="Times New Roman" w:hAnsi="Times New Roman" w:eastAsia="方正仿宋_GBK"/>
          <w:color w:val="000000" w:themeColor="text1"/>
          <w:sz w:val="24"/>
          <w:szCs w:val="24"/>
          <w14:textFill>
            <w14:solidFill>
              <w14:schemeClr w14:val="tx1"/>
            </w14:solidFill>
          </w14:textFill>
        </w:rPr>
        <w:t>。</w:t>
      </w:r>
    </w:p>
    <w:p>
      <w:pPr>
        <w:pStyle w:val="8"/>
        <w:pageBreakBefore w:val="0"/>
        <w:widowControl w:val="0"/>
        <w:kinsoku/>
        <w:wordWrap/>
        <w:overflowPunct/>
        <w:topLinePunct w:val="0"/>
        <w:autoSpaceDE/>
        <w:autoSpaceDN/>
        <w:bidi w:val="0"/>
        <w:spacing w:line="400" w:lineRule="exact"/>
        <w:ind w:firstLine="360" w:firstLineChars="15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（二）</w:t>
      </w:r>
      <w:r>
        <w:rPr>
          <w:rFonts w:hint="eastAsia" w:ascii="Times New Roman" w:hAnsi="Times New Roman" w:eastAsia="方正仿宋_GBK"/>
          <w:color w:val="000000" w:themeColor="text1"/>
          <w:sz w:val="24"/>
          <w:szCs w:val="24"/>
          <w:lang w:eastAsia="zh-CN"/>
          <w14:textFill>
            <w14:solidFill>
              <w14:schemeClr w14:val="tx1"/>
            </w14:solidFill>
          </w14:textFill>
        </w:rPr>
        <w:t>交货</w:t>
      </w:r>
      <w:r>
        <w:rPr>
          <w:rFonts w:hint="eastAsia" w:ascii="Times New Roman" w:hAnsi="Times New Roman" w:eastAsia="方正仿宋_GBK"/>
          <w:color w:val="000000" w:themeColor="text1"/>
          <w:sz w:val="24"/>
          <w:szCs w:val="24"/>
          <w:lang w:val="en-US" w:eastAsia="zh-CN"/>
          <w14:textFill>
            <w14:solidFill>
              <w14:schemeClr w14:val="tx1"/>
            </w14:solidFill>
          </w14:textFill>
        </w:rPr>
        <w:t>/实施</w:t>
      </w:r>
      <w:r>
        <w:rPr>
          <w:rFonts w:hint="eastAsia" w:ascii="Times New Roman" w:hAnsi="Times New Roman" w:eastAsia="方正仿宋_GBK"/>
          <w:color w:val="000000" w:themeColor="text1"/>
          <w:sz w:val="24"/>
          <w:szCs w:val="24"/>
          <w14:textFill>
            <w14:solidFill>
              <w14:schemeClr w14:val="tx1"/>
            </w14:solidFill>
          </w14:textFill>
        </w:rPr>
        <w:t>地点</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lang w:eastAsia="zh-CN"/>
          <w14:textFill>
            <w14:solidFill>
              <w14:schemeClr w14:val="tx1"/>
            </w14:solidFill>
          </w14:textFill>
        </w:rPr>
        <w:t>重庆城市管理职业学院思政工作创新发展中心（新建多功能体育馆2层）</w:t>
      </w:r>
      <w:r>
        <w:rPr>
          <w:rFonts w:hint="eastAsia" w:ascii="Times New Roman" w:hAnsi="Times New Roman" w:eastAsia="方正仿宋_GBK"/>
          <w:color w:val="000000" w:themeColor="text1"/>
          <w:sz w:val="24"/>
          <w:szCs w:val="24"/>
          <w14:textFill>
            <w14:solidFill>
              <w14:schemeClr w14:val="tx1"/>
            </w14:solidFill>
          </w14:textFill>
        </w:rPr>
        <w:t>。</w:t>
      </w:r>
    </w:p>
    <w:p>
      <w:pPr>
        <w:pStyle w:val="8"/>
        <w:pageBreakBefore w:val="0"/>
        <w:widowControl w:val="0"/>
        <w:kinsoku/>
        <w:wordWrap/>
        <w:overflowPunct/>
        <w:topLinePunct w:val="0"/>
        <w:autoSpaceDE/>
        <w:autoSpaceDN/>
        <w:bidi w:val="0"/>
        <w:spacing w:line="400" w:lineRule="exact"/>
        <w:ind w:firstLine="360" w:firstLineChars="15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（三）验收方式</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1.货物到达现场后，供应商应经采购人或其指定验收单位清点品名、规格、数量；检查外观，作出验收记录，双方签字确认。</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2.供应商应保证货物到达用户所在地完好无损，如有缺漏、损坏，由供应商负责调换、补齐或赔偿。</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3.供应商应提供完备的技术资料、装箱单和合格证等，并派遣专业技术人员进行现场安装调试。验收合格条件如下：</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3.1设备品种、规格、数量、技术参数等与采购合同一致，性能指标达到规定的标准。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3.2货物技术资料、装箱单、合格证等资料齐全。</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3.3在规定时间内完成交货并验收，并经采购人确认。</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4.供应商提供的货物未达到</w:t>
      </w:r>
      <w:r>
        <w:rPr>
          <w:rFonts w:hint="eastAsia" w:ascii="Times New Roman" w:hAnsi="Times New Roman" w:eastAsia="方正仿宋_GBK"/>
          <w:color w:val="000000" w:themeColor="text1"/>
          <w:sz w:val="24"/>
          <w:szCs w:val="24"/>
          <w:lang w:eastAsia="zh-CN"/>
          <w14:textFill>
            <w14:solidFill>
              <w14:schemeClr w14:val="tx1"/>
            </w14:solidFill>
          </w14:textFill>
        </w:rPr>
        <w:t>采购</w:t>
      </w:r>
      <w:r>
        <w:rPr>
          <w:rFonts w:hint="eastAsia" w:ascii="Times New Roman" w:hAnsi="Times New Roman" w:eastAsia="方正仿宋_GBK"/>
          <w:color w:val="000000" w:themeColor="text1"/>
          <w:sz w:val="24"/>
          <w:szCs w:val="24"/>
          <w14:textFill>
            <w14:solidFill>
              <w14:schemeClr w14:val="tx1"/>
            </w14:solidFill>
          </w14:textFill>
        </w:rPr>
        <w:t>规定要求，且对采购人造成损失的，由供应商承担一切责任，并赔偿所造成的损失。</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5.大型或者复杂的政府采购产品项目，采购人可邀请国家认可的质量检测机构参加验收工作。</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6.采购人需要制造商对成交供应商交付的产品（包括质量、技术参数等）进行确认的，制造商应予以配合，并出具书面意见。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7.产品包装材料归采购人所有。</w:t>
      </w:r>
    </w:p>
    <w:p>
      <w:pPr>
        <w:pStyle w:val="6"/>
        <w:pageBreakBefore w:val="0"/>
        <w:widowControl w:val="0"/>
        <w:kinsoku/>
        <w:wordWrap/>
        <w:overflowPunct/>
        <w:topLinePunct w:val="0"/>
        <w:autoSpaceDE/>
        <w:autoSpaceDN/>
        <w:bidi w:val="0"/>
        <w:spacing w:before="0" w:after="0" w:line="400" w:lineRule="exact"/>
        <w:textAlignment w:val="auto"/>
        <w:rPr>
          <w:rFonts w:hint="eastAsia" w:ascii="Times New Roman" w:hAnsi="Times New Roman" w:eastAsia="方正仿宋_GBK" w:cs="Times New Roman"/>
          <w:b/>
          <w:color w:val="000000" w:themeColor="text1"/>
          <w:sz w:val="24"/>
          <w:szCs w:val="24"/>
          <w14:textFill>
            <w14:solidFill>
              <w14:schemeClr w14:val="tx1"/>
            </w14:solidFill>
          </w14:textFill>
        </w:rPr>
      </w:pPr>
      <w:r>
        <w:rPr>
          <w:rFonts w:hint="eastAsia" w:ascii="Times New Roman" w:hAnsi="Times New Roman" w:eastAsia="方正仿宋_GBK" w:cs="Times New Roman"/>
          <w:b/>
          <w:color w:val="000000" w:themeColor="text1"/>
          <w:sz w:val="24"/>
          <w:szCs w:val="24"/>
          <w14:textFill>
            <w14:solidFill>
              <w14:schemeClr w14:val="tx1"/>
            </w14:solidFill>
          </w14:textFill>
        </w:rPr>
        <w:t>二、质量保证及售后服务</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（一）产品质量保证期</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1.自验收合格之日起，</w:t>
      </w:r>
      <w:r>
        <w:rPr>
          <w:rFonts w:hint="eastAsia" w:ascii="Times New Roman" w:hAnsi="Times New Roman" w:eastAsia="方正仿宋_GBK"/>
          <w:color w:val="000000" w:themeColor="text1"/>
          <w:sz w:val="24"/>
          <w:szCs w:val="24"/>
          <w:highlight w:val="none"/>
          <w14:textFill>
            <w14:solidFill>
              <w14:schemeClr w14:val="tx1"/>
            </w14:solidFill>
          </w14:textFill>
        </w:rPr>
        <w:t>提供1年免费质保期</w:t>
      </w:r>
      <w:r>
        <w:rPr>
          <w:rFonts w:hint="eastAsia" w:ascii="Times New Roman" w:hAnsi="Times New Roman" w:eastAsia="方正仿宋_GBK"/>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2.采购货物属于国家规定“三包”范围的，其产品质量保证期不得低于“三包”规定。</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3.供应商的质量保证期承诺优于国家“三包”规定的，按供应商实际承诺执行。</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4.采购货物由制造商（指产品生产制造商，或其负责销售、售后服务机构，以下同）负责标准售后服务的，应当在</w:t>
      </w:r>
      <w:r>
        <w:rPr>
          <w:rFonts w:hint="eastAsia" w:ascii="Times New Roman" w:hAnsi="Times New Roman" w:eastAsia="方正仿宋_GBK"/>
          <w:color w:val="000000" w:themeColor="text1"/>
          <w:sz w:val="24"/>
          <w:szCs w:val="24"/>
          <w:lang w:eastAsia="zh-CN"/>
          <w14:textFill>
            <w14:solidFill>
              <w14:schemeClr w14:val="tx1"/>
            </w14:solidFill>
          </w14:textFill>
        </w:rPr>
        <w:t>响应</w:t>
      </w:r>
      <w:r>
        <w:rPr>
          <w:rFonts w:hint="eastAsia" w:ascii="Times New Roman" w:hAnsi="Times New Roman" w:eastAsia="方正仿宋_GBK"/>
          <w:color w:val="000000" w:themeColor="text1"/>
          <w:sz w:val="24"/>
          <w:szCs w:val="24"/>
          <w14:textFill>
            <w14:solidFill>
              <w14:schemeClr w14:val="tx1"/>
            </w14:solidFill>
          </w14:textFill>
        </w:rPr>
        <w:t>文件中予以明确说明,并附制造商售后服务承诺。</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（二）售后服务内容</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供应商和制造商在质量保证期内应当为采购人提供以下技术支持服务：</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1.质量保证期内服务要求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1.1电话咨询</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成交供应商和制造商应当为用户提供技术援助电话，解答用户在使用中遇到的问题，及时为用户提出解决问题的建议。</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1.2现场响应</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用户遇到使用及技术问题，电话咨询不能解决的，成交供应商或制造商应在24小时内采取相应响应措施；无法在24小时内解决的，应在48小时内派出专业人员进行技术支持。</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1.3技术升级</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在质保期内，如果成交供应商和制造商的产品技术升级，成交供应商应及时通知采购人，如采购人有相应要求，成交供应商和制造商应对采购人进行升级服务。</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2.质保期外服务要求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2.1质量保证期过后，成交供应商和制造商应同样提供免费电话咨询服务，并应承诺提供产品上门维护服务。</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2.2质量保证期过后，采购人需要继续由原成交供应商和制造商提供售后服务的，成交供应商和制造商应以优惠价格提供售后服务。</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（三）故障响应时间要求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供应商接到使用方产品出现问题的通知后立即作出响应，2小时内到达现场进行处理。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（四）维修配件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成交供应商或制造商应提供备品备件，保证用户应急所需。使用的维修零配件应为原厂配件，未经用户同意不得使用非原厂配件。</w:t>
      </w:r>
    </w:p>
    <w:p>
      <w:pPr>
        <w:pStyle w:val="6"/>
        <w:pageBreakBefore w:val="0"/>
        <w:widowControl w:val="0"/>
        <w:kinsoku/>
        <w:wordWrap/>
        <w:overflowPunct/>
        <w:topLinePunct w:val="0"/>
        <w:autoSpaceDE/>
        <w:autoSpaceDN/>
        <w:bidi w:val="0"/>
        <w:spacing w:before="0" w:after="0" w:line="400" w:lineRule="exact"/>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三、报价要求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报价须为人民币报价，包括完成本项目所需的</w:t>
      </w:r>
      <w:r>
        <w:rPr>
          <w:rFonts w:hint="eastAsia" w:ascii="Times New Roman" w:hAnsi="Times New Roman" w:eastAsia="方正仿宋_GBK"/>
          <w:color w:val="000000" w:themeColor="text1"/>
          <w:sz w:val="24"/>
          <w:szCs w:val="24"/>
          <w:lang w:eastAsia="zh-CN"/>
          <w14:textFill>
            <w14:solidFill>
              <w14:schemeClr w14:val="tx1"/>
            </w14:solidFill>
          </w14:textFill>
        </w:rPr>
        <w:t>货物、</w:t>
      </w:r>
      <w:r>
        <w:rPr>
          <w:rFonts w:hint="eastAsia" w:ascii="Times New Roman" w:hAnsi="Times New Roman" w:eastAsia="方正仿宋_GBK"/>
          <w:color w:val="000000" w:themeColor="text1"/>
          <w:sz w:val="24"/>
          <w:szCs w:val="24"/>
          <w14:textFill>
            <w14:solidFill>
              <w14:schemeClr w14:val="tx1"/>
            </w14:solidFill>
          </w14:textFill>
        </w:rPr>
        <w:t>服务</w:t>
      </w:r>
      <w:r>
        <w:rPr>
          <w:rFonts w:hint="eastAsia" w:ascii="Times New Roman" w:hAnsi="Times New Roman" w:eastAsia="方正仿宋_GBK"/>
          <w:color w:val="000000" w:themeColor="text1"/>
          <w:sz w:val="24"/>
          <w:szCs w:val="24"/>
          <w:lang w:eastAsia="zh-CN"/>
          <w14:textFill>
            <w14:solidFill>
              <w14:schemeClr w14:val="tx1"/>
            </w14:solidFill>
          </w14:textFill>
        </w:rPr>
        <w:t>与工程</w:t>
      </w:r>
      <w:r>
        <w:rPr>
          <w:rFonts w:hint="eastAsia" w:ascii="Times New Roman" w:hAnsi="Times New Roman" w:eastAsia="方正仿宋_GBK"/>
          <w:color w:val="000000" w:themeColor="text1"/>
          <w:sz w:val="24"/>
          <w:szCs w:val="24"/>
          <w14:textFill>
            <w14:solidFill>
              <w14:schemeClr w14:val="tx1"/>
            </w14:solidFill>
          </w14:textFill>
        </w:rPr>
        <w:t>及各种应纳的税费。因成交供应商自身原因造成漏报、少报皆由其自行承担责任，采购人不再补偿。</w:t>
      </w:r>
    </w:p>
    <w:p>
      <w:pPr>
        <w:pStyle w:val="5"/>
        <w:keepNext/>
        <w:keepLines/>
        <w:pageBreakBefore w:val="0"/>
        <w:widowControl w:val="0"/>
        <w:kinsoku/>
        <w:wordWrap/>
        <w:overflowPunct/>
        <w:topLinePunct w:val="0"/>
        <w:autoSpaceDE/>
        <w:autoSpaceDN/>
        <w:bidi w:val="0"/>
        <w:adjustRightInd w:val="0"/>
        <w:snapToGrid w:val="0"/>
        <w:spacing w:before="0" w:beforeAutospacing="0" w:after="0" w:afterAutospacing="0" w:line="400" w:lineRule="exact"/>
        <w:jc w:val="both"/>
        <w:textAlignment w:val="auto"/>
        <w:rPr>
          <w:rFonts w:hint="eastAsia" w:ascii="Times New Roman" w:hAnsi="Times New Roman" w:eastAsia="方正仿宋_GBK" w:cs="Times New Roman"/>
          <w:b/>
          <w:color w:val="000000" w:themeColor="text1"/>
          <w:kern w:val="2"/>
          <w:sz w:val="24"/>
          <w:szCs w:val="24"/>
          <w14:textFill>
            <w14:solidFill>
              <w14:schemeClr w14:val="tx1"/>
            </w14:solidFill>
          </w14:textFill>
        </w:rPr>
      </w:pPr>
      <w:bookmarkStart w:id="0" w:name="_Toc267320051"/>
      <w:bookmarkStart w:id="1" w:name="_Toc75793512"/>
      <w:r>
        <w:rPr>
          <w:rFonts w:hint="eastAsia" w:ascii="Times New Roman" w:hAnsi="Times New Roman" w:eastAsia="方正仿宋_GBK" w:cs="Times New Roman"/>
          <w:b/>
          <w:color w:val="000000" w:themeColor="text1"/>
          <w:kern w:val="2"/>
          <w:sz w:val="24"/>
          <w:szCs w:val="24"/>
          <w14:textFill>
            <w14:solidFill>
              <w14:schemeClr w14:val="tx1"/>
            </w14:solidFill>
          </w14:textFill>
        </w:rPr>
        <w:t>四、付款方式</w:t>
      </w:r>
      <w:bookmarkEnd w:id="0"/>
      <w:bookmarkEnd w:id="1"/>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lang w:val="en-US" w:eastAsia="zh-CN"/>
          <w14:textFill>
            <w14:solidFill>
              <w14:schemeClr w14:val="tx1"/>
            </w14:solidFill>
          </w14:textFill>
        </w:rPr>
      </w:pPr>
      <w:r>
        <w:rPr>
          <w:rFonts w:hint="eastAsia" w:ascii="Times New Roman" w:hAnsi="Times New Roman" w:eastAsia="方正仿宋_GBK"/>
          <w:color w:val="000000" w:themeColor="text1"/>
          <w:sz w:val="24"/>
          <w:szCs w:val="24"/>
          <w:lang w:eastAsia="zh-CN"/>
          <w14:textFill>
            <w14:solidFill>
              <w14:schemeClr w14:val="tx1"/>
            </w14:solidFill>
          </w14:textFill>
        </w:rPr>
        <w:t>货物类</w:t>
      </w:r>
      <w:r>
        <w:rPr>
          <w:rFonts w:hint="eastAsia" w:ascii="Times New Roman" w:hAnsi="Times New Roman" w:eastAsia="方正仿宋_GBK"/>
          <w:color w:val="000000" w:themeColor="text1"/>
          <w:sz w:val="24"/>
          <w:szCs w:val="24"/>
          <w14:textFill>
            <w14:solidFill>
              <w14:schemeClr w14:val="tx1"/>
            </w14:solidFill>
          </w14:textFill>
        </w:rPr>
        <w:t>：</w:t>
      </w:r>
      <w:r>
        <w:rPr>
          <w:rFonts w:hint="eastAsia" w:ascii="Times New Roman" w:hAnsi="Times New Roman" w:eastAsia="方正仿宋_GBK"/>
          <w:color w:val="000000" w:themeColor="text1"/>
          <w:sz w:val="24"/>
          <w:szCs w:val="24"/>
          <w:lang w:val="en-US" w:eastAsia="zh-CN"/>
          <w14:textFill>
            <w14:solidFill>
              <w14:schemeClr w14:val="tx1"/>
            </w14:solidFill>
          </w14:textFill>
        </w:rPr>
        <w:t>验收合格后，成交供应商向采购人提供增值税普通（或专用）发票，采购人向成交供应商支付合同全款；</w:t>
      </w:r>
    </w:p>
    <w:p>
      <w:pPr>
        <w:pStyle w:val="6"/>
        <w:pageBreakBefore w:val="0"/>
        <w:widowControl w:val="0"/>
        <w:kinsoku/>
        <w:wordWrap/>
        <w:overflowPunct/>
        <w:topLinePunct w:val="0"/>
        <w:autoSpaceDE/>
        <w:autoSpaceDN/>
        <w:bidi w:val="0"/>
        <w:spacing w:before="0" w:after="0" w:line="400" w:lineRule="exact"/>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五、知识产权及保密要求</w:t>
      </w:r>
    </w:p>
    <w:p>
      <w:pPr>
        <w:pageBreakBefore w:val="0"/>
        <w:widowControl w:val="0"/>
        <w:kinsoku/>
        <w:wordWrap/>
        <w:overflowPunct/>
        <w:topLinePunct w:val="0"/>
        <w:autoSpaceDE/>
        <w:autoSpaceDN/>
        <w:bidi w:val="0"/>
        <w:spacing w:line="400" w:lineRule="exact"/>
        <w:ind w:firstLine="600" w:firstLineChars="25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Times New Roman" w:hAnsi="Times New Roman" w:eastAsia="方正仿宋_GBK" w:cs="宋体"/>
          <w:color w:val="000000" w:themeColor="text1"/>
          <w:kern w:val="0"/>
          <w:sz w:val="24"/>
          <w:szCs w:val="24"/>
          <w14:textFill>
            <w14:solidFill>
              <w14:schemeClr w14:val="tx1"/>
            </w14:solidFill>
          </w14:textFill>
        </w:rPr>
        <w:t>如果第三方提出侵权指控，</w:t>
      </w:r>
      <w:r>
        <w:rPr>
          <w:rFonts w:hint="eastAsia" w:ascii="Times New Roman" w:hAnsi="Times New Roman" w:eastAsia="方正仿宋_GBK" w:cs="宋体"/>
          <w:color w:val="000000" w:themeColor="text1"/>
          <w:kern w:val="0"/>
          <w:sz w:val="24"/>
          <w:szCs w:val="24"/>
          <w:lang w:eastAsia="zh-CN"/>
          <w14:textFill>
            <w14:solidFill>
              <w14:schemeClr w14:val="tx1"/>
            </w14:solidFill>
          </w14:textFill>
        </w:rPr>
        <w:t>供应商</w:t>
      </w:r>
      <w:r>
        <w:rPr>
          <w:rFonts w:hint="eastAsia" w:ascii="Times New Roman" w:hAnsi="Times New Roman" w:eastAsia="方正仿宋_GBK" w:cs="宋体"/>
          <w:color w:val="000000" w:themeColor="text1"/>
          <w:kern w:val="0"/>
          <w:sz w:val="24"/>
          <w:szCs w:val="24"/>
          <w14:textFill>
            <w14:solidFill>
              <w14:schemeClr w14:val="tx1"/>
            </w14:solidFill>
          </w14:textFill>
        </w:rPr>
        <w:t>应承担由此而引起的一切法律责任和费用。</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注：（若涉及软件开发等服务类项目知识产权的，知识产权归采购人所有）。</w:t>
      </w:r>
    </w:p>
    <w:p>
      <w:pPr>
        <w:pStyle w:val="6"/>
        <w:pageBreakBefore w:val="0"/>
        <w:widowControl w:val="0"/>
        <w:kinsoku/>
        <w:wordWrap/>
        <w:overflowPunct/>
        <w:topLinePunct w:val="0"/>
        <w:autoSpaceDE/>
        <w:autoSpaceDN/>
        <w:bidi w:val="0"/>
        <w:spacing w:before="0" w:after="0" w:line="400" w:lineRule="exact"/>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六、培训</w:t>
      </w:r>
    </w:p>
    <w:p>
      <w:pPr>
        <w:pageBreakBefore w:val="0"/>
        <w:widowControl w:val="0"/>
        <w:kinsoku/>
        <w:wordWrap/>
        <w:overflowPunct/>
        <w:topLinePunct w:val="0"/>
        <w:autoSpaceDE/>
        <w:autoSpaceDN/>
        <w:bidi w:val="0"/>
        <w:snapToGrid w:val="0"/>
        <w:spacing w:line="400" w:lineRule="exact"/>
        <w:ind w:firstLine="540"/>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成交供应商须提供对设备的操作培训，使相关使用人员能够正常操作相关设备。</w:t>
      </w:r>
    </w:p>
    <w:p>
      <w:pPr>
        <w:pStyle w:val="6"/>
        <w:pageBreakBefore w:val="0"/>
        <w:widowControl w:val="0"/>
        <w:kinsoku/>
        <w:wordWrap/>
        <w:overflowPunct/>
        <w:topLinePunct w:val="0"/>
        <w:autoSpaceDE/>
        <w:autoSpaceDN/>
        <w:bidi w:val="0"/>
        <w:spacing w:before="0" w:after="0" w:line="400" w:lineRule="exact"/>
        <w:textAlignment w:val="auto"/>
        <w:rPr>
          <w:rFonts w:hint="eastAsia"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七、其他</w:t>
      </w:r>
    </w:p>
    <w:p>
      <w:pPr>
        <w:pageBreakBefore w:val="0"/>
        <w:widowControl w:val="0"/>
        <w:kinsoku/>
        <w:wordWrap/>
        <w:overflowPunct/>
        <w:topLinePunct w:val="0"/>
        <w:autoSpaceDE/>
        <w:autoSpaceDN/>
        <w:bidi w:val="0"/>
        <w:snapToGrid w:val="0"/>
        <w:spacing w:line="400" w:lineRule="exact"/>
        <w:ind w:firstLine="540"/>
        <w:textAlignment w:val="auto"/>
        <w:rPr>
          <w:rFonts w:hint="eastAsia" w:ascii="Times New Roman" w:hAnsi="Times New Roman" w:eastAsia="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olor w:val="000000" w:themeColor="text1"/>
          <w:sz w:val="24"/>
          <w:szCs w:val="24"/>
          <w:lang w:eastAsia="zh-CN"/>
          <w14:textFill>
            <w14:solidFill>
              <w14:schemeClr w14:val="tx1"/>
            </w14:solidFill>
          </w14:textFill>
        </w:rPr>
        <w:t>（一）供应商必须在响应文件中对以上条款和服务承诺明确列出，承诺内容必须达到本篇及其他条款要求。</w:t>
      </w:r>
    </w:p>
    <w:p>
      <w:pPr>
        <w:pageBreakBefore w:val="0"/>
        <w:widowControl w:val="0"/>
        <w:kinsoku/>
        <w:wordWrap/>
        <w:overflowPunct/>
        <w:topLinePunct w:val="0"/>
        <w:autoSpaceDE/>
        <w:autoSpaceDN/>
        <w:bidi w:val="0"/>
        <w:spacing w:line="400" w:lineRule="exact"/>
        <w:ind w:firstLine="480"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（二）其他未尽事宜由供需双方在采购合同中详细约定。</w:t>
      </w: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612C4"/>
    <w:multiLevelType w:val="singleLevel"/>
    <w:tmpl w:val="264612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2B352AD7"/>
    <w:rsid w:val="115F39A2"/>
    <w:rsid w:val="2B352AD7"/>
    <w:rsid w:val="4A4264D1"/>
    <w:rsid w:val="55D60DF3"/>
    <w:rsid w:val="56132B71"/>
    <w:rsid w:val="6CD7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Calibri" w:hAnsi="Calibri"/>
      <w:kern w:val="0"/>
      <w:sz w:val="20"/>
      <w:szCs w:val="20"/>
    </w:rPr>
  </w:style>
  <w:style w:type="paragraph" w:styleId="3">
    <w:name w:val="Body Text"/>
    <w:basedOn w:val="1"/>
    <w:next w:val="1"/>
    <w:unhideWhenUsed/>
    <w:qFormat/>
    <w:uiPriority w:val="0"/>
    <w:pPr>
      <w:spacing w:after="120"/>
    </w:pPr>
  </w:style>
  <w:style w:type="paragraph" w:styleId="7">
    <w:name w:val="Plain Text"/>
    <w:basedOn w:val="1"/>
    <w:qFormat/>
    <w:uiPriority w:val="0"/>
    <w:rPr>
      <w:rFonts w:hint="default" w:ascii="宋体" w:hAnsi="Courier New"/>
      <w:szCs w:val="21"/>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2132</Words>
  <Characters>2272</Characters>
  <Lines>0</Lines>
  <Paragraphs>0</Paragraphs>
  <TotalTime>15</TotalTime>
  <ScaleCrop>false</ScaleCrop>
  <LinksUpToDate>false</LinksUpToDate>
  <CharactersWithSpaces>2357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2023-02-15T00:53:00Z</dcterms:created>
  <dc:creator>礼享</dc:creator>
  <cp:lastModifiedBy>唐凌云</cp:lastModifiedBy>
  <dcterms:modified xsi:type="dcterms:W3CDTF">2024-06-05T08:15:44Z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52A43997FCB841B3BB0778F017C1E00F_13</vt:lpwstr>
  </property>
</Properties>
</file>