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重庆城市管理职业学院</w:t>
      </w:r>
      <w:r>
        <w:rPr>
          <w:rFonts w:hint="eastAsia" w:ascii="方正小标宋_GBK" w:eastAsia="方正小标宋_GBK"/>
          <w:b w:val="0"/>
          <w:bCs w:val="0"/>
          <w:sz w:val="44"/>
          <w:szCs w:val="44"/>
          <w:lang w:val="en-US" w:eastAsia="zh-CN"/>
        </w:rPr>
        <w:t>数智财经学院教学成果奖视频-数字财税类专业产教贯通一体化人才培养模式创新与实践</w:t>
      </w:r>
      <w:r>
        <w:rPr>
          <w:rFonts w:hint="eastAsia" w:ascii="方正小标宋_GBK" w:eastAsia="方正小标宋_GBK"/>
          <w:sz w:val="44"/>
          <w:szCs w:val="44"/>
        </w:rPr>
        <w:t>分散采购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需求</w:t>
      </w:r>
    </w:p>
    <w:p>
      <w:pPr>
        <w:adjustRightInd w:val="0"/>
        <w:snapToGrid w:val="0"/>
        <w:spacing w:line="360" w:lineRule="auto"/>
        <w:jc w:val="left"/>
        <w:rPr>
          <w:rFonts w:ascii="宋体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一、项目简介</w:t>
      </w:r>
    </w:p>
    <w:p>
      <w:pPr>
        <w:spacing w:line="560" w:lineRule="exact"/>
        <w:ind w:firstLine="640" w:firstLineChars="20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重庆城市管理职业学院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数智财经学院教学成果奖</w:t>
      </w:r>
      <w:r>
        <w:rPr>
          <w:rFonts w:hint="default" w:ascii="方正仿宋_GBK" w:eastAsia="方正仿宋_GBK"/>
          <w:sz w:val="32"/>
          <w:szCs w:val="32"/>
          <w:lang w:eastAsia="zh-CN"/>
        </w:rPr>
        <w:t>申报需要</w:t>
      </w:r>
      <w:r>
        <w:rPr>
          <w:rFonts w:hint="eastAsia" w:ascii="方正仿宋_GBK" w:hAnsi="宋体" w:eastAsia="方正仿宋_GBK"/>
          <w:sz w:val="32"/>
          <w:szCs w:val="32"/>
        </w:rPr>
        <w:t>，我们拟分散采购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教学成果奖视频制作</w:t>
      </w:r>
      <w:bookmarkStart w:id="0" w:name="_GoBack"/>
      <w:bookmarkEnd w:id="0"/>
      <w:r>
        <w:rPr>
          <w:rFonts w:hint="eastAsia" w:ascii="方正仿宋_GBK" w:hAnsi="宋体" w:eastAsia="方正仿宋_GBK"/>
          <w:sz w:val="32"/>
          <w:szCs w:val="32"/>
        </w:rPr>
        <w:t>，欢迎有实力有资质的企业或个体积极参与。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jc w:val="lef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数智财经学院教学成果奖视频-数字财税类专业产教贯通一体化人才培养模式创新与实践</w:t>
      </w:r>
      <w:r>
        <w:rPr>
          <w:rFonts w:hint="eastAsia" w:ascii="方正仿宋_GBK" w:eastAsia="方正仿宋_GBK"/>
          <w:sz w:val="32"/>
          <w:szCs w:val="32"/>
          <w:lang w:eastAsia="zh-CN"/>
        </w:rPr>
        <w:t>分散</w:t>
      </w:r>
      <w:r>
        <w:rPr>
          <w:rFonts w:hint="eastAsia" w:ascii="方正黑体_GBK" w:eastAsia="方正黑体_GBK"/>
          <w:sz w:val="32"/>
          <w:szCs w:val="32"/>
        </w:rPr>
        <w:t>采购要求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1.品质要求：视频压缩采用H.264(MPEG-4 Part10：profile=main, level=3.0)编码方式，码率3M以上，帧率不低于25 fps，分辨率不低于1024×576（16:9）；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2.字幕要求：字幕清晰美观，能正确有效地传达信息。字幕尽可能少，在视频中的停留时间以能看清楚为准，字幕要使用符合国家标准的规范字，不出现繁体字、异体字(国家规定的除外)、错别字；字幕的字体、大小、色彩搭配、摆放位置、停留时间、出入屏方式力求与其他要素（画面、解说词、音乐）配合适当，不能破坏原有画面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3.画面要求：视频类素材每帧图像颜色数不低于256色或灰度级不低于128级，视频图像清晰，播放时没有明显的噪点，播放流畅，彩色视频素材每帧图像颜色均为真彩色，音频与视频图像有良好的同步，音频部分应符合音频素材的质量要求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4.内容要求：视频内容体现教学成果展现，符合我国法律法规，尊重各民族的风俗习惯，版权不存在争议；若其中包含少数民族或外国语言文字信息，应遵循其原内容完整性，使用原语言，并根据原语言进行字幕汉化处理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5.</w:t>
      </w:r>
      <w:r>
        <w:rPr>
          <w:rFonts w:hint="eastAsia" w:ascii="方正仿宋_GBK" w:eastAsia="方正仿宋_GBK"/>
          <w:sz w:val="32"/>
          <w:szCs w:val="32"/>
        </w:rPr>
        <w:t>参与分散采购的服务商须密封提供以下材料：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5.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/>
          <w:sz w:val="32"/>
          <w:szCs w:val="32"/>
        </w:rPr>
        <w:t>法定代表人身份证明书。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三、分散采购竞价评选标准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  <w:sectPr>
          <w:footerReference r:id="rId3" w:type="default"/>
          <w:pgSz w:w="11906" w:h="16838"/>
          <w:pgMar w:top="1418" w:right="1588" w:bottom="1418" w:left="1588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方正仿宋_GBK" w:eastAsia="方正仿宋_GBK"/>
          <w:sz w:val="32"/>
          <w:szCs w:val="32"/>
        </w:rPr>
        <w:t>在完全满足“附件二”的条件下，竞价最低者中标。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881"/>
        <w:gridCol w:w="1561"/>
        <w:gridCol w:w="2723"/>
        <w:gridCol w:w="487"/>
        <w:gridCol w:w="3612"/>
        <w:gridCol w:w="1244"/>
        <w:gridCol w:w="677"/>
        <w:gridCol w:w="292"/>
        <w:gridCol w:w="905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878" w:type="dxa"/>
            <w:gridSpan w:val="11"/>
            <w:shd w:val="clear" w:color="auto" w:fill="auto"/>
            <w:noWrap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黑体_GBK" w:eastAsia="方正黑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附件二：重庆城市管理职业学院</w:t>
            </w:r>
            <w:r>
              <w:rPr>
                <w:rFonts w:hint="eastAsia" w:ascii="方正黑体_GBK" w:eastAsia="方正黑体_GBK"/>
                <w:sz w:val="32"/>
                <w:szCs w:val="32"/>
                <w:lang w:val="en-US" w:eastAsia="zh-CN"/>
              </w:rPr>
              <w:t>数智财经学院教学成果奖视频-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  <w:lang w:val="en-US" w:eastAsia="zh-CN"/>
              </w:rPr>
              <w:t>数字财税类专业产教贯通一体化人才培养模式创新与实践</w:t>
            </w:r>
            <w:r>
              <w:rPr>
                <w:rFonts w:hint="eastAsia" w:ascii="方正黑体_GBK" w:eastAsia="方正黑体_GBK"/>
                <w:sz w:val="32"/>
                <w:szCs w:val="32"/>
              </w:rPr>
              <w:t>分散采购限价表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7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eastAsia="方正黑体_GBK"/>
                <w:szCs w:val="21"/>
              </w:rPr>
            </w:pPr>
            <w:r>
              <w:rPr>
                <w:rFonts w:hint="eastAsia" w:ascii="方正黑体_GBK" w:eastAsia="方正黑体_GBK"/>
                <w:szCs w:val="21"/>
              </w:rPr>
              <w:t>序号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eastAsia="方正黑体_GBK"/>
                <w:szCs w:val="21"/>
              </w:rPr>
            </w:pPr>
            <w:r>
              <w:rPr>
                <w:rFonts w:hint="eastAsia" w:ascii="方正黑体_GBK" w:eastAsia="方正黑体_GBK"/>
                <w:szCs w:val="21"/>
              </w:rPr>
              <w:t>产品名称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黑体_GBK" w:eastAsia="方正黑体_GBK"/>
                <w:szCs w:val="21"/>
                <w:lang w:eastAsia="zh-CN"/>
              </w:rPr>
            </w:pPr>
            <w:r>
              <w:rPr>
                <w:rFonts w:hint="eastAsia" w:ascii="方正黑体_GBK" w:eastAsia="方正黑体_GBK"/>
                <w:szCs w:val="21"/>
                <w:lang w:val="en-US" w:eastAsia="zh-CN"/>
              </w:rPr>
              <w:t>品质要求</w:t>
            </w:r>
          </w:p>
        </w:tc>
        <w:tc>
          <w:tcPr>
            <w:tcW w:w="3210" w:type="dxa"/>
            <w:gridSpan w:val="2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黑体_GBK" w:eastAsia="方正黑体_GBK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字幕要求</w:t>
            </w:r>
          </w:p>
        </w:tc>
        <w:tc>
          <w:tcPr>
            <w:tcW w:w="361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方正黑体_GBK" w:eastAsia="方正黑体_GBK"/>
                <w:szCs w:val="21"/>
                <w:lang w:val="en-US" w:eastAsia="zh-CN"/>
              </w:rPr>
            </w:pPr>
            <w:r>
              <w:rPr>
                <w:rFonts w:hint="eastAsia" w:ascii="方正黑体_GBK" w:eastAsia="方正黑体_GBK"/>
                <w:szCs w:val="21"/>
                <w:lang w:val="en-US" w:eastAsia="zh-CN"/>
              </w:rPr>
              <w:t>画面要求</w:t>
            </w:r>
          </w:p>
        </w:tc>
        <w:tc>
          <w:tcPr>
            <w:tcW w:w="2213" w:type="dxa"/>
            <w:gridSpan w:val="3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方正黑体_GBK" w:eastAsia="方正黑体_GBK"/>
                <w:szCs w:val="21"/>
                <w:lang w:val="en-US" w:eastAsia="zh-CN"/>
              </w:rPr>
            </w:pPr>
            <w:r>
              <w:rPr>
                <w:rFonts w:hint="eastAsia" w:ascii="方正黑体_GBK" w:eastAsia="方正黑体_GBK"/>
                <w:szCs w:val="21"/>
                <w:lang w:val="en-US" w:eastAsia="zh-CN"/>
              </w:rPr>
              <w:t>规格型号</w:t>
            </w:r>
          </w:p>
        </w:tc>
        <w:tc>
          <w:tcPr>
            <w:tcW w:w="905" w:type="dxa"/>
            <w:shd w:val="clear" w:color="auto" w:fill="auto"/>
            <w:noWrap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黑体_GBK" w:eastAsia="方正黑体_GBK"/>
                <w:szCs w:val="21"/>
              </w:rPr>
            </w:pPr>
            <w:r>
              <w:rPr>
                <w:rFonts w:hint="eastAsia" w:ascii="方正黑体_GBK" w:eastAsia="方正黑体_GBK"/>
                <w:szCs w:val="21"/>
              </w:rPr>
              <w:t>小计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黑体_GBK" w:eastAsia="方正黑体_GBK"/>
                <w:szCs w:val="21"/>
                <w:lang w:eastAsia="zh-CN"/>
              </w:rPr>
            </w:pPr>
            <w:r>
              <w:rPr>
                <w:rFonts w:hint="eastAsia" w:ascii="方正黑体_GBK" w:eastAsia="方正黑体_GBK"/>
                <w:szCs w:val="21"/>
                <w:lang w:eastAsia="zh-CN"/>
              </w:rPr>
              <w:t>（元）</w:t>
            </w:r>
          </w:p>
        </w:tc>
        <w:tc>
          <w:tcPr>
            <w:tcW w:w="1089" w:type="dxa"/>
            <w:shd w:val="clear" w:color="auto" w:fill="auto"/>
            <w:noWrap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黑体_GBK" w:eastAsia="方正黑体_GBK"/>
                <w:szCs w:val="21"/>
              </w:rPr>
            </w:pPr>
            <w:r>
              <w:rPr>
                <w:rFonts w:hint="eastAsia" w:ascii="方正黑体_GBK" w:eastAsia="方正黑体_GBK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407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1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方正仿宋_GBK" w:eastAsia="方正仿宋_GBK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教学视频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仿宋_GBK" w:eastAsia="方正仿宋_GBK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视频压缩采用H.264(MPEG-4 Part10：profile=main, level=3.0)编码方式，码率3M以上，帧率不低于25 fps，分辨率不低于1024×576（16:9）</w:t>
            </w:r>
          </w:p>
        </w:tc>
        <w:tc>
          <w:tcPr>
            <w:tcW w:w="321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仿宋_GBK" w:eastAsia="方正仿宋_GBK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字幕清晰美观，能正确有效地传达信息。字幕尽可能少，在视频中的停留时间以能看清楚为准，字幕要使用符合国家标准的规范字，不出现繁体字、异体字(国家规定的除外)、错别字；字幕的字体、大小、色彩搭配、摆放位置、停留时间、出入屏方式力求与其他要素（画面、解说词、音乐）配合适当，不能破坏原有画面</w:t>
            </w:r>
          </w:p>
        </w:tc>
        <w:tc>
          <w:tcPr>
            <w:tcW w:w="36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视频类素材每帧图像颜色数不低于256色或灰度级不低于128级，视频图像清晰，播放时没有明显的噪点，播放流畅，彩色视频素材每帧图像颜色均为真彩色，音频与视频图像有良好的同步，音频部分应符合音频素材的质量要求</w:t>
            </w:r>
          </w:p>
        </w:tc>
        <w:tc>
          <w:tcPr>
            <w:tcW w:w="2213" w:type="dxa"/>
            <w:gridSpan w:val="3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方正仿宋_GBK" w:eastAsia="方正仿宋_GBK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定制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方正仿宋_GBK" w:eastAsia="方正仿宋_GBK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50000</w:t>
            </w:r>
          </w:p>
        </w:tc>
        <w:tc>
          <w:tcPr>
            <w:tcW w:w="1089" w:type="dxa"/>
            <w:shd w:val="clear" w:color="auto" w:fill="auto"/>
            <w:noWrap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方正仿宋_GBK" w:eastAsia="方正仿宋_GBK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407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21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6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089" w:type="dxa"/>
            <w:shd w:val="clear" w:color="auto" w:fill="auto"/>
            <w:noWrap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方正仿宋_GBK" w:eastAsia="方正仿宋_GBK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07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61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21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6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089" w:type="dxa"/>
            <w:shd w:val="clear" w:color="auto" w:fill="auto"/>
            <w:noWrap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方正仿宋_GBK" w:eastAsia="方正仿宋_GBK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07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方正仿宋_GBK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165" w:type="dxa"/>
            <w:gridSpan w:val="3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总计</w:t>
            </w:r>
          </w:p>
        </w:tc>
        <w:tc>
          <w:tcPr>
            <w:tcW w:w="6312" w:type="dxa"/>
            <w:gridSpan w:val="5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</w:p>
        </w:tc>
        <w:tc>
          <w:tcPr>
            <w:tcW w:w="1994" w:type="dxa"/>
            <w:gridSpan w:val="2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default" w:ascii="方正黑体_GBK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eastAsia="方正黑体_GBK"/>
                <w:sz w:val="28"/>
                <w:szCs w:val="28"/>
                <w:lang w:val="en-US" w:eastAsia="zh-CN"/>
              </w:rPr>
              <w:t>50000</w:t>
            </w:r>
          </w:p>
        </w:tc>
      </w:tr>
    </w:tbl>
    <w:p>
      <w:pPr>
        <w:adjustRightInd w:val="0"/>
        <w:snapToGrid w:val="0"/>
        <w:spacing w:line="240" w:lineRule="exact"/>
        <w:jc w:val="left"/>
        <w:rPr>
          <w:rFonts w:ascii="方正仿宋_GBK" w:eastAsia="方正仿宋_GBK"/>
          <w:szCs w:val="21"/>
        </w:rPr>
      </w:pPr>
    </w:p>
    <w:p/>
    <w:sectPr>
      <w:pgSz w:w="16838" w:h="11906" w:orient="landscape"/>
      <w:pgMar w:top="1418" w:right="1588" w:bottom="1418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374173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D1F322"/>
    <w:multiLevelType w:val="singleLevel"/>
    <w:tmpl w:val="8DD1F32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95B"/>
    <w:rsid w:val="00021854"/>
    <w:rsid w:val="00036CED"/>
    <w:rsid w:val="000405FC"/>
    <w:rsid w:val="00076BD1"/>
    <w:rsid w:val="00080B51"/>
    <w:rsid w:val="0016395B"/>
    <w:rsid w:val="001829CB"/>
    <w:rsid w:val="00232E79"/>
    <w:rsid w:val="00262AD1"/>
    <w:rsid w:val="002672D6"/>
    <w:rsid w:val="00272DF2"/>
    <w:rsid w:val="00282330"/>
    <w:rsid w:val="003B7331"/>
    <w:rsid w:val="00451EE6"/>
    <w:rsid w:val="005C3047"/>
    <w:rsid w:val="005D7A3B"/>
    <w:rsid w:val="00612A8D"/>
    <w:rsid w:val="00645B77"/>
    <w:rsid w:val="006808ED"/>
    <w:rsid w:val="006A2194"/>
    <w:rsid w:val="006D39DA"/>
    <w:rsid w:val="006E47FB"/>
    <w:rsid w:val="008E6D90"/>
    <w:rsid w:val="009774C1"/>
    <w:rsid w:val="009C0DE7"/>
    <w:rsid w:val="009C7EF1"/>
    <w:rsid w:val="00A445BB"/>
    <w:rsid w:val="00B03857"/>
    <w:rsid w:val="00C17E0B"/>
    <w:rsid w:val="00C516E0"/>
    <w:rsid w:val="00D400D0"/>
    <w:rsid w:val="00D43EBD"/>
    <w:rsid w:val="00E51B0C"/>
    <w:rsid w:val="00E949D5"/>
    <w:rsid w:val="00F76266"/>
    <w:rsid w:val="00FC450E"/>
    <w:rsid w:val="0B557548"/>
    <w:rsid w:val="0CE521AB"/>
    <w:rsid w:val="155B7822"/>
    <w:rsid w:val="21CB59EC"/>
    <w:rsid w:val="2852616C"/>
    <w:rsid w:val="38894580"/>
    <w:rsid w:val="48E54E69"/>
    <w:rsid w:val="4FF44291"/>
    <w:rsid w:val="54C33AF6"/>
    <w:rsid w:val="57306BE8"/>
    <w:rsid w:val="59BB4822"/>
    <w:rsid w:val="5A9363C4"/>
    <w:rsid w:val="604727A0"/>
    <w:rsid w:val="6471743E"/>
    <w:rsid w:val="72E82BD1"/>
    <w:rsid w:val="77345BCF"/>
    <w:rsid w:val="7ADD3307"/>
    <w:rsid w:val="7C19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276</Words>
  <Characters>1577</Characters>
  <Lines>13</Lines>
  <Paragraphs>3</Paragraphs>
  <TotalTime>3</TotalTime>
  <ScaleCrop>false</ScaleCrop>
  <LinksUpToDate>false</LinksUpToDate>
  <CharactersWithSpaces>1850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2020-04-29T06:37:00Z</dcterms:created>
  <dc:creator>Administrator</dc:creator>
  <cp:lastModifiedBy>糊涂之</cp:lastModifiedBy>
  <cp:lastPrinted>2020-04-29T02:50:00Z</cp:lastPrinted>
  <dcterms:modified xsi:type="dcterms:W3CDTF">2021-10-26T06:54:25Z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E9AAFFE302C645378AB6E27399FAB9EC</vt:lpwstr>
  </property>
</Properties>
</file>