
<file path=[Content_Types].xml><?xml version="1.0" encoding="utf-8"?>
<Types xmlns="http://schemas.openxmlformats.org/package/2006/content-types">
  <Default Extension="xml" ContentType="application/xml"/>
  <Default Extension="bmp" ContentType="image/bmp"/>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240" w:lineRule="auto"/>
        <w:ind w:left="-359" w:leftChars="-171"/>
        <w:jc w:val="center"/>
        <w:textAlignment w:val="auto"/>
        <w:outlineLvl w:val="9"/>
        <w:rPr>
          <w:rFonts w:hint="eastAsia" w:ascii="方正小标宋_GBK" w:hAnsi="方正小标宋_GBK" w:eastAsia="方正小标宋_GBK" w:cs="方正小标宋_GBK"/>
          <w:b w:val="0"/>
          <w:bCs/>
          <w:sz w:val="40"/>
          <w:szCs w:val="44"/>
        </w:rPr>
      </w:pPr>
      <w:r>
        <w:rPr>
          <w:rFonts w:hint="eastAsia" w:ascii="方正小标宋_GBK" w:hAnsi="方正小标宋_GBK" w:eastAsia="方正小标宋_GBK" w:cs="方正小标宋_GBK"/>
          <w:b w:val="0"/>
          <w:bCs/>
          <w:sz w:val="40"/>
          <w:szCs w:val="44"/>
          <w:lang w:val="en-US" w:eastAsia="zh-CN"/>
        </w:rPr>
        <w:t>关于做好</w:t>
      </w:r>
      <w:r>
        <w:rPr>
          <w:rFonts w:hint="eastAsia" w:ascii="方正小标宋_GBK" w:hAnsi="方正小标宋_GBK" w:eastAsia="方正小标宋_GBK" w:cs="方正小标宋_GBK"/>
          <w:b w:val="0"/>
          <w:bCs/>
          <w:sz w:val="40"/>
          <w:szCs w:val="44"/>
        </w:rPr>
        <w:t>20</w:t>
      </w:r>
      <w:r>
        <w:rPr>
          <w:rFonts w:hint="eastAsia" w:ascii="方正小标宋_GBK" w:hAnsi="方正小标宋_GBK" w:eastAsia="方正小标宋_GBK" w:cs="方正小标宋_GBK"/>
          <w:b w:val="0"/>
          <w:bCs/>
          <w:sz w:val="40"/>
          <w:szCs w:val="44"/>
          <w:lang w:val="en-US" w:eastAsia="zh-CN"/>
        </w:rPr>
        <w:t>21</w:t>
      </w:r>
      <w:r>
        <w:rPr>
          <w:rFonts w:hint="eastAsia" w:ascii="方正小标宋_GBK" w:hAnsi="方正小标宋_GBK" w:eastAsia="方正小标宋_GBK" w:cs="方正小标宋_GBK"/>
          <w:b w:val="0"/>
          <w:bCs/>
          <w:sz w:val="40"/>
          <w:szCs w:val="44"/>
        </w:rPr>
        <w:t>-202</w:t>
      </w:r>
      <w:r>
        <w:rPr>
          <w:rFonts w:hint="eastAsia" w:ascii="方正小标宋_GBK" w:hAnsi="方正小标宋_GBK" w:eastAsia="方正小标宋_GBK" w:cs="方正小标宋_GBK"/>
          <w:b w:val="0"/>
          <w:bCs/>
          <w:sz w:val="40"/>
          <w:szCs w:val="44"/>
          <w:lang w:val="en-US" w:eastAsia="zh-CN"/>
        </w:rPr>
        <w:t>2</w:t>
      </w:r>
      <w:r>
        <w:rPr>
          <w:rFonts w:hint="eastAsia" w:ascii="方正小标宋_GBK" w:hAnsi="方正小标宋_GBK" w:eastAsia="方正小标宋_GBK" w:cs="方正小标宋_GBK"/>
          <w:b w:val="0"/>
          <w:bCs/>
          <w:sz w:val="40"/>
          <w:szCs w:val="44"/>
        </w:rPr>
        <w:t>学年度</w:t>
      </w:r>
    </w:p>
    <w:p>
      <w:pPr>
        <w:keepNext w:val="0"/>
        <w:keepLines w:val="0"/>
        <w:pageBreakBefore w:val="0"/>
        <w:widowControl w:val="0"/>
        <w:kinsoku/>
        <w:wordWrap/>
        <w:overflowPunct/>
        <w:topLinePunct w:val="0"/>
        <w:autoSpaceDE/>
        <w:autoSpaceDN/>
        <w:bidi w:val="0"/>
        <w:adjustRightInd/>
        <w:snapToGrid/>
        <w:spacing w:line="240" w:lineRule="auto"/>
        <w:ind w:left="-359" w:leftChars="-171"/>
        <w:jc w:val="center"/>
        <w:textAlignment w:val="auto"/>
        <w:outlineLvl w:val="9"/>
        <w:rPr>
          <w:rFonts w:hint="eastAsia" w:eastAsia="方正仿宋_GBK"/>
          <w:b/>
          <w:sz w:val="44"/>
          <w:szCs w:val="44"/>
        </w:rPr>
      </w:pPr>
      <w:r>
        <w:rPr>
          <w:rFonts w:hint="eastAsia" w:ascii="方正小标宋_GBK" w:hAnsi="方正小标宋_GBK" w:eastAsia="方正小标宋_GBK" w:cs="方正小标宋_GBK"/>
          <w:b w:val="0"/>
          <w:bCs/>
          <w:sz w:val="40"/>
          <w:szCs w:val="44"/>
        </w:rPr>
        <w:t>大学生参加城乡居民合作医疗保险</w:t>
      </w:r>
      <w:r>
        <w:rPr>
          <w:rFonts w:hint="eastAsia" w:ascii="方正小标宋_GBK" w:hAnsi="方正小标宋_GBK" w:eastAsia="方正小标宋_GBK" w:cs="方正小标宋_GBK"/>
          <w:b w:val="0"/>
          <w:bCs/>
          <w:sz w:val="40"/>
          <w:szCs w:val="44"/>
          <w:lang w:eastAsia="zh-CN"/>
        </w:rPr>
        <w:t>工作</w:t>
      </w:r>
      <w:r>
        <w:rPr>
          <w:rFonts w:hint="eastAsia" w:ascii="方正小标宋_GBK" w:hAnsi="方正小标宋_GBK" w:eastAsia="方正小标宋_GBK" w:cs="方正小标宋_GBK"/>
          <w:b w:val="0"/>
          <w:bCs/>
          <w:sz w:val="40"/>
          <w:szCs w:val="44"/>
        </w:rPr>
        <w:t>的通知</w:t>
      </w:r>
    </w:p>
    <w:p>
      <w:pPr>
        <w:spacing w:line="500" w:lineRule="exact"/>
        <w:rPr>
          <w:rFonts w:hint="eastAsia" w:ascii="仿宋" w:hAnsi="仿宋" w:eastAsia="仿宋" w:cs="仿宋"/>
          <w:b/>
          <w:sz w:val="28"/>
          <w:szCs w:val="28"/>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b/>
          <w:sz w:val="28"/>
          <w:szCs w:val="28"/>
        </w:rPr>
      </w:pPr>
      <w:r>
        <w:rPr>
          <w:rFonts w:hint="eastAsia" w:ascii="仿宋" w:hAnsi="仿宋" w:eastAsia="仿宋" w:cs="仿宋"/>
          <w:b/>
          <w:sz w:val="28"/>
          <w:szCs w:val="28"/>
        </w:rPr>
        <w:t>各二级学院：</w:t>
      </w:r>
    </w:p>
    <w:p>
      <w:pPr>
        <w:keepNext w:val="0"/>
        <w:keepLines w:val="0"/>
        <w:pageBreakBefore w:val="0"/>
        <w:widowControl w:val="0"/>
        <w:kinsoku/>
        <w:wordWrap/>
        <w:overflowPunct/>
        <w:topLinePunct w:val="0"/>
        <w:autoSpaceDE/>
        <w:autoSpaceDN/>
        <w:bidi w:val="0"/>
        <w:adjustRightInd/>
        <w:snapToGrid/>
        <w:spacing w:line="500" w:lineRule="exact"/>
        <w:ind w:left="0" w:leftChars="0" w:firstLine="560" w:firstLineChars="200"/>
        <w:textAlignment w:val="auto"/>
        <w:rPr>
          <w:rFonts w:hint="eastAsia" w:eastAsia="仿宋_GB2312"/>
          <w:sz w:val="28"/>
          <w:szCs w:val="28"/>
          <w:lang w:eastAsia="zh-CN"/>
        </w:rPr>
      </w:pPr>
      <w:r>
        <w:rPr>
          <w:rFonts w:hint="eastAsia" w:eastAsia="仿宋_GB2312"/>
          <w:sz w:val="28"/>
          <w:szCs w:val="28"/>
          <w:lang w:eastAsia="zh-CN"/>
        </w:rPr>
        <w:t>为做好我</w:t>
      </w:r>
      <w:r>
        <w:rPr>
          <w:rFonts w:hint="eastAsia" w:eastAsia="仿宋_GB2312"/>
          <w:sz w:val="28"/>
          <w:szCs w:val="28"/>
          <w:lang w:val="en-US" w:eastAsia="zh-CN"/>
        </w:rPr>
        <w:t>校</w:t>
      </w:r>
      <w:r>
        <w:rPr>
          <w:rFonts w:hint="eastAsia" w:eastAsia="仿宋_GB2312"/>
          <w:sz w:val="28"/>
          <w:szCs w:val="28"/>
          <w:lang w:eastAsia="zh-CN"/>
        </w:rPr>
        <w:t>20</w:t>
      </w:r>
      <w:r>
        <w:rPr>
          <w:rFonts w:hint="eastAsia" w:eastAsia="仿宋_GB2312"/>
          <w:sz w:val="28"/>
          <w:szCs w:val="28"/>
          <w:lang w:val="en-US" w:eastAsia="zh-CN"/>
        </w:rPr>
        <w:t>21</w:t>
      </w:r>
      <w:r>
        <w:rPr>
          <w:rFonts w:hint="eastAsia" w:eastAsia="仿宋_GB2312"/>
          <w:sz w:val="28"/>
          <w:szCs w:val="28"/>
          <w:lang w:eastAsia="zh-CN"/>
        </w:rPr>
        <w:t>—202</w:t>
      </w:r>
      <w:r>
        <w:rPr>
          <w:rFonts w:hint="eastAsia" w:eastAsia="仿宋_GB2312"/>
          <w:sz w:val="28"/>
          <w:szCs w:val="28"/>
          <w:lang w:val="en-US" w:eastAsia="zh-CN"/>
        </w:rPr>
        <w:t>2</w:t>
      </w:r>
      <w:r>
        <w:rPr>
          <w:rFonts w:hint="eastAsia" w:eastAsia="仿宋_GB2312"/>
          <w:sz w:val="28"/>
          <w:szCs w:val="28"/>
          <w:lang w:eastAsia="zh-CN"/>
        </w:rPr>
        <w:t>学年度在校大学生参加城乡居民合作医疗保险工作，根据《重庆市医疗保障局重庆市财政局国家税务总局重庆市税务局关于加强和改进基本医疗保险参保工作的通知》(渝医保发[ 2021 ]23号)、《重庆市人民政府办公厅转发市民政局等部门关于进一步完善医疗救助制度意见的通知》(渝府办发[2015] 174号)、《重庆高新区管委会关于切实做好医疗救助工作的通知》(渝高新发[2020]20号)文件精神，现将有关事宜通知如下：</w:t>
      </w:r>
    </w:p>
    <w:p>
      <w:pPr>
        <w:keepNext w:val="0"/>
        <w:keepLines w:val="0"/>
        <w:pageBreakBefore w:val="0"/>
        <w:widowControl w:val="0"/>
        <w:kinsoku/>
        <w:wordWrap/>
        <w:overflowPunct/>
        <w:topLinePunct w:val="0"/>
        <w:autoSpaceDE/>
        <w:autoSpaceDN/>
        <w:bidi w:val="0"/>
        <w:adjustRightInd/>
        <w:snapToGrid/>
        <w:spacing w:line="500" w:lineRule="exact"/>
        <w:ind w:left="0" w:leftChars="0" w:firstLine="562" w:firstLineChars="200"/>
        <w:textAlignment w:val="auto"/>
        <w:rPr>
          <w:rFonts w:hint="eastAsia" w:eastAsia="仿宋_GB2312"/>
          <w:b/>
          <w:bCs/>
          <w:sz w:val="28"/>
          <w:szCs w:val="28"/>
        </w:rPr>
      </w:pPr>
      <w:r>
        <w:rPr>
          <w:rFonts w:eastAsia="仿宋_GB2312"/>
          <w:b/>
          <w:bCs/>
          <w:sz w:val="28"/>
          <w:szCs w:val="28"/>
        </w:rPr>
        <w:t>一、参保对象</w:t>
      </w:r>
    </w:p>
    <w:p>
      <w:pPr>
        <w:keepNext w:val="0"/>
        <w:keepLines w:val="0"/>
        <w:pageBreakBefore w:val="0"/>
        <w:widowControl w:val="0"/>
        <w:kinsoku/>
        <w:wordWrap/>
        <w:overflowPunct/>
        <w:topLinePunct w:val="0"/>
        <w:autoSpaceDE/>
        <w:autoSpaceDN/>
        <w:bidi w:val="0"/>
        <w:adjustRightInd/>
        <w:snapToGrid/>
        <w:spacing w:line="500" w:lineRule="exact"/>
        <w:ind w:left="0" w:leftChars="0" w:firstLine="560" w:firstLineChars="200"/>
        <w:textAlignment w:val="auto"/>
        <w:rPr>
          <w:rFonts w:eastAsia="仿宋_GB2312"/>
          <w:b/>
          <w:bCs/>
          <w:sz w:val="28"/>
          <w:szCs w:val="28"/>
        </w:rPr>
      </w:pPr>
      <w:r>
        <w:rPr>
          <w:rFonts w:hint="eastAsia" w:eastAsia="仿宋_GB2312"/>
          <w:sz w:val="28"/>
          <w:szCs w:val="28"/>
          <w:lang w:val="en-US" w:eastAsia="zh-CN"/>
        </w:rPr>
        <w:t>我校全体</w:t>
      </w:r>
      <w:r>
        <w:rPr>
          <w:rFonts w:eastAsia="仿宋_GB2312"/>
          <w:sz w:val="28"/>
          <w:szCs w:val="28"/>
        </w:rPr>
        <w:t>学生</w:t>
      </w:r>
    </w:p>
    <w:p>
      <w:pPr>
        <w:keepNext w:val="0"/>
        <w:keepLines w:val="0"/>
        <w:pageBreakBefore w:val="0"/>
        <w:widowControl w:val="0"/>
        <w:numPr>
          <w:ilvl w:val="0"/>
          <w:numId w:val="1"/>
        </w:numPr>
        <w:kinsoku/>
        <w:wordWrap/>
        <w:overflowPunct/>
        <w:topLinePunct w:val="0"/>
        <w:autoSpaceDE/>
        <w:autoSpaceDN/>
        <w:bidi w:val="0"/>
        <w:adjustRightInd/>
        <w:snapToGrid/>
        <w:spacing w:line="500" w:lineRule="exact"/>
        <w:ind w:left="0" w:leftChars="0" w:firstLine="562" w:firstLineChars="200"/>
        <w:textAlignment w:val="auto"/>
        <w:rPr>
          <w:rFonts w:eastAsia="仿宋_GB2312"/>
          <w:b/>
          <w:bCs/>
          <w:sz w:val="28"/>
          <w:szCs w:val="28"/>
        </w:rPr>
      </w:pPr>
      <w:r>
        <w:rPr>
          <w:rFonts w:hint="eastAsia" w:eastAsia="仿宋_GB2312"/>
          <w:b/>
          <w:bCs/>
          <w:sz w:val="28"/>
          <w:szCs w:val="28"/>
          <w:lang w:val="en-US" w:eastAsia="zh-CN"/>
        </w:rPr>
        <w:t>普通学生</w:t>
      </w:r>
      <w:r>
        <w:rPr>
          <w:rFonts w:eastAsia="仿宋_GB2312"/>
          <w:b/>
          <w:bCs/>
          <w:sz w:val="28"/>
          <w:szCs w:val="28"/>
        </w:rPr>
        <w:t>缴费标准</w:t>
      </w:r>
    </w:p>
    <w:p>
      <w:pPr>
        <w:keepNext w:val="0"/>
        <w:keepLines w:val="0"/>
        <w:pageBreakBefore w:val="0"/>
        <w:widowControl w:val="0"/>
        <w:kinsoku/>
        <w:wordWrap/>
        <w:overflowPunct/>
        <w:topLinePunct w:val="0"/>
        <w:autoSpaceDE/>
        <w:autoSpaceDN/>
        <w:bidi w:val="0"/>
        <w:adjustRightInd/>
        <w:snapToGrid/>
        <w:spacing w:line="500" w:lineRule="exact"/>
        <w:ind w:left="0" w:leftChars="0" w:firstLine="560" w:firstLineChars="200"/>
        <w:textAlignment w:val="auto"/>
        <w:rPr>
          <w:rFonts w:hint="eastAsia"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2021—2022学年度在校大学生缴费标准为一档280元/人·学年度，二档655元/人·学年度。</w:t>
      </w:r>
    </w:p>
    <w:p>
      <w:pPr>
        <w:keepNext w:val="0"/>
        <w:keepLines w:val="0"/>
        <w:pageBreakBefore w:val="0"/>
        <w:widowControl w:val="0"/>
        <w:kinsoku/>
        <w:wordWrap/>
        <w:overflowPunct/>
        <w:topLinePunct w:val="0"/>
        <w:autoSpaceDE/>
        <w:autoSpaceDN/>
        <w:bidi w:val="0"/>
        <w:adjustRightInd/>
        <w:snapToGrid/>
        <w:spacing w:line="500" w:lineRule="exact"/>
        <w:ind w:left="0" w:leftChars="0" w:firstLine="560" w:firstLineChars="200"/>
        <w:textAlignment w:val="auto"/>
        <w:rPr>
          <w:rFonts w:hint="eastAsia" w:ascii="Times New Roman" w:hAnsi="Times New Roman" w:eastAsia="仿宋_GB2312" w:cs="Times New Roman"/>
          <w:sz w:val="28"/>
          <w:szCs w:val="28"/>
          <w:lang w:val="en-US" w:eastAsia="zh-CN"/>
        </w:rPr>
      </w:pPr>
      <w:r>
        <w:rPr>
          <w:rFonts w:hint="eastAsia" w:eastAsia="仿宋_GB2312" w:cs="Times New Roman"/>
          <w:sz w:val="28"/>
          <w:szCs w:val="28"/>
          <w:lang w:val="en-US" w:eastAsia="zh-CN"/>
        </w:rPr>
        <w:t>自下学年起</w:t>
      </w:r>
      <w:r>
        <w:rPr>
          <w:rFonts w:hint="eastAsia" w:ascii="Times New Roman" w:hAnsi="Times New Roman" w:eastAsia="仿宋_GB2312" w:cs="Times New Roman"/>
          <w:sz w:val="28"/>
          <w:szCs w:val="28"/>
          <w:lang w:val="en-US" w:eastAsia="zh-CN"/>
        </w:rPr>
        <w:t>，在校大学生每学年度个人缴费标准执行我市城乡居民当年度个人缴费标准。</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0" w:leftChars="0" w:firstLine="562" w:firstLineChars="200"/>
        <w:textAlignment w:val="auto"/>
        <w:rPr>
          <w:rFonts w:hint="eastAsia" w:eastAsia="仿宋_GB2312"/>
          <w:b/>
          <w:bCs/>
          <w:sz w:val="28"/>
          <w:szCs w:val="28"/>
          <w:lang w:val="en-US" w:eastAsia="zh-CN"/>
        </w:rPr>
      </w:pPr>
      <w:r>
        <w:rPr>
          <w:rFonts w:hint="eastAsia" w:eastAsia="仿宋_GB2312"/>
          <w:b/>
          <w:bCs/>
          <w:sz w:val="28"/>
          <w:szCs w:val="28"/>
          <w:lang w:val="en-US" w:eastAsia="zh-CN"/>
        </w:rPr>
        <w:t>三、受助学生缴费标准</w:t>
      </w:r>
    </w:p>
    <w:p>
      <w:pPr>
        <w:keepNext w:val="0"/>
        <w:keepLines w:val="0"/>
        <w:pageBreakBefore w:val="0"/>
        <w:widowControl w:val="0"/>
        <w:kinsoku/>
        <w:wordWrap/>
        <w:overflowPunct/>
        <w:topLinePunct w:val="0"/>
        <w:autoSpaceDE/>
        <w:autoSpaceDN/>
        <w:bidi w:val="0"/>
        <w:adjustRightInd/>
        <w:snapToGrid/>
        <w:spacing w:line="500" w:lineRule="exact"/>
        <w:ind w:left="0" w:leftChars="0" w:firstLine="560" w:firstLineChars="200"/>
        <w:textAlignment w:val="auto"/>
        <w:rPr>
          <w:rFonts w:hint="eastAsia"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照相关文件精神,大学生资助参保人员类别和资助标准如下:</w:t>
      </w:r>
    </w:p>
    <w:p>
      <w:pPr>
        <w:keepNext w:val="0"/>
        <w:keepLines w:val="0"/>
        <w:pageBreakBefore w:val="0"/>
        <w:widowControl w:val="0"/>
        <w:numPr>
          <w:ilvl w:val="0"/>
          <w:numId w:val="2"/>
        </w:numPr>
        <w:kinsoku/>
        <w:wordWrap/>
        <w:overflowPunct/>
        <w:topLinePunct w:val="0"/>
        <w:autoSpaceDE/>
        <w:autoSpaceDN/>
        <w:bidi w:val="0"/>
        <w:adjustRightInd/>
        <w:snapToGrid/>
        <w:spacing w:line="500" w:lineRule="exact"/>
        <w:ind w:left="0" w:leftChars="0" w:firstLine="562" w:firstLineChars="200"/>
        <w:textAlignment w:val="auto"/>
        <w:rPr>
          <w:rFonts w:hint="eastAsia" w:eastAsia="仿宋_GB2312" w:cs="Times New Roman"/>
          <w:b/>
          <w:bCs/>
          <w:sz w:val="28"/>
          <w:szCs w:val="28"/>
          <w:lang w:val="en-US" w:eastAsia="zh-CN"/>
        </w:rPr>
      </w:pPr>
      <w:r>
        <w:rPr>
          <w:rFonts w:hint="eastAsia" w:eastAsia="仿宋_GB2312" w:cs="Times New Roman"/>
          <w:b/>
          <w:bCs/>
          <w:sz w:val="28"/>
          <w:szCs w:val="28"/>
          <w:lang w:val="en-US" w:eastAsia="zh-CN"/>
        </w:rPr>
        <w:t xml:space="preserve">人员类别 </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0" w:leftChars="0" w:firstLine="560" w:firstLineChars="200"/>
        <w:textAlignment w:val="auto"/>
        <w:rPr>
          <w:rFonts w:hint="eastAsia"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由高校认定的家庭经济困难大学生</w:t>
      </w:r>
    </w:p>
    <w:p>
      <w:pPr>
        <w:keepNext w:val="0"/>
        <w:keepLines w:val="0"/>
        <w:pageBreakBefore w:val="0"/>
        <w:widowControl w:val="0"/>
        <w:kinsoku/>
        <w:wordWrap/>
        <w:overflowPunct/>
        <w:topLinePunct w:val="0"/>
        <w:autoSpaceDE/>
        <w:autoSpaceDN/>
        <w:bidi w:val="0"/>
        <w:adjustRightInd/>
        <w:snapToGrid/>
        <w:spacing w:line="500" w:lineRule="exact"/>
        <w:ind w:left="0" w:leftChars="0" w:firstLine="562" w:firstLineChars="200"/>
        <w:textAlignment w:val="auto"/>
        <w:rPr>
          <w:rFonts w:hint="eastAsia" w:eastAsia="仿宋_GB2312" w:cs="Times New Roman"/>
          <w:b/>
          <w:bCs/>
          <w:sz w:val="28"/>
          <w:szCs w:val="28"/>
          <w:lang w:val="en-US" w:eastAsia="zh-CN"/>
        </w:rPr>
      </w:pPr>
      <w:r>
        <w:rPr>
          <w:rFonts w:hint="eastAsia" w:eastAsia="仿宋_GB2312" w:cs="Times New Roman"/>
          <w:b/>
          <w:bCs/>
          <w:sz w:val="28"/>
          <w:szCs w:val="28"/>
          <w:lang w:val="en-US" w:eastAsia="zh-CN"/>
        </w:rPr>
        <w:t>（二）资助标准</w:t>
      </w:r>
    </w:p>
    <w:p>
      <w:pPr>
        <w:keepNext w:val="0"/>
        <w:keepLines w:val="0"/>
        <w:pageBreakBefore w:val="0"/>
        <w:widowControl w:val="0"/>
        <w:kinsoku/>
        <w:wordWrap/>
        <w:overflowPunct/>
        <w:topLinePunct w:val="0"/>
        <w:autoSpaceDE/>
        <w:autoSpaceDN/>
        <w:bidi w:val="0"/>
        <w:adjustRightInd/>
        <w:snapToGrid/>
        <w:spacing w:line="500" w:lineRule="exact"/>
        <w:ind w:left="0" w:leftChars="0" w:firstLine="560" w:firstLineChars="200"/>
        <w:textAlignment w:val="auto"/>
        <w:rPr>
          <w:rFonts w:hint="eastAsia"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2021—2022学年度在校大学生资助标准为一档参保人224元/人·学年度，二档参保人280元/人·学年度。以后年度，按照《重庆高新区管委会关于切实做好医疗救助工作的通知》(渝高新发〔2020 〕 20号）文件精神，一档参保人资助比例为一档缴费标准的80%，二档参保人资助比例为一档缴费标准的100%。</w:t>
      </w:r>
    </w:p>
    <w:p>
      <w:pPr>
        <w:keepNext w:val="0"/>
        <w:keepLines w:val="0"/>
        <w:pageBreakBefore w:val="0"/>
        <w:widowControl w:val="0"/>
        <w:kinsoku/>
        <w:wordWrap/>
        <w:overflowPunct/>
        <w:topLinePunct w:val="0"/>
        <w:autoSpaceDE/>
        <w:autoSpaceDN/>
        <w:bidi w:val="0"/>
        <w:adjustRightInd/>
        <w:snapToGrid/>
        <w:spacing w:line="500" w:lineRule="exact"/>
        <w:ind w:left="0" w:leftChars="0" w:firstLine="562" w:firstLineChars="200"/>
        <w:textAlignment w:val="auto"/>
        <w:rPr>
          <w:rFonts w:hint="eastAsia" w:eastAsia="仿宋_GB2312"/>
          <w:b/>
          <w:bCs/>
          <w:color w:val="auto"/>
          <w:sz w:val="28"/>
          <w:szCs w:val="28"/>
          <w:lang w:val="en-US" w:eastAsia="zh-CN"/>
        </w:rPr>
      </w:pPr>
      <w:r>
        <w:rPr>
          <w:rFonts w:hint="eastAsia" w:eastAsia="仿宋_GB2312"/>
          <w:b/>
          <w:bCs/>
          <w:color w:val="auto"/>
          <w:sz w:val="28"/>
          <w:szCs w:val="28"/>
          <w:lang w:val="en-US" w:eastAsia="zh-CN"/>
        </w:rPr>
        <w:t>四</w:t>
      </w:r>
      <w:r>
        <w:rPr>
          <w:rFonts w:hint="eastAsia" w:eastAsia="仿宋_GB2312"/>
          <w:b/>
          <w:bCs/>
          <w:color w:val="auto"/>
          <w:sz w:val="28"/>
          <w:szCs w:val="28"/>
        </w:rPr>
        <w:t>、</w:t>
      </w:r>
      <w:r>
        <w:rPr>
          <w:rFonts w:hint="eastAsia" w:eastAsia="仿宋_GB2312"/>
          <w:b/>
          <w:bCs/>
          <w:color w:val="auto"/>
          <w:sz w:val="28"/>
          <w:szCs w:val="28"/>
          <w:lang w:val="en-US" w:eastAsia="zh-CN"/>
        </w:rPr>
        <w:t>参保流程</w:t>
      </w:r>
    </w:p>
    <w:p>
      <w:pPr>
        <w:keepNext w:val="0"/>
        <w:keepLines w:val="0"/>
        <w:pageBreakBefore w:val="0"/>
        <w:widowControl w:val="0"/>
        <w:kinsoku/>
        <w:wordWrap/>
        <w:overflowPunct/>
        <w:topLinePunct w:val="0"/>
        <w:autoSpaceDE/>
        <w:autoSpaceDN/>
        <w:bidi w:val="0"/>
        <w:adjustRightInd/>
        <w:snapToGrid/>
        <w:spacing w:line="500" w:lineRule="exact"/>
        <w:ind w:left="0" w:leftChars="0" w:firstLine="562" w:firstLineChars="200"/>
        <w:textAlignment w:val="auto"/>
        <w:rPr>
          <w:rFonts w:hint="eastAsia" w:eastAsia="仿宋_GB2312" w:cs="Times New Roman"/>
          <w:b/>
          <w:bCs/>
          <w:sz w:val="28"/>
          <w:szCs w:val="28"/>
          <w:lang w:val="en-US" w:eastAsia="zh-CN"/>
        </w:rPr>
      </w:pPr>
      <w:r>
        <w:rPr>
          <w:rFonts w:hint="eastAsia" w:eastAsia="仿宋_GB2312"/>
          <w:b/>
          <w:bCs/>
          <w:color w:val="auto"/>
          <w:sz w:val="28"/>
          <w:szCs w:val="28"/>
          <w:lang w:val="en-US" w:eastAsia="zh-CN"/>
        </w:rPr>
        <w:t xml:space="preserve"> </w:t>
      </w:r>
      <w:r>
        <w:rPr>
          <w:rFonts w:hint="eastAsia" w:eastAsia="仿宋_GB2312" w:cs="Times New Roman"/>
          <w:b/>
          <w:bCs/>
          <w:sz w:val="28"/>
          <w:szCs w:val="28"/>
          <w:lang w:val="en-US" w:eastAsia="zh-CN"/>
        </w:rPr>
        <w:t>（一）2019级、2020级学生</w:t>
      </w:r>
    </w:p>
    <w:p>
      <w:pPr>
        <w:keepNext w:val="0"/>
        <w:keepLines w:val="0"/>
        <w:pageBreakBefore w:val="0"/>
        <w:widowControl w:val="0"/>
        <w:kinsoku/>
        <w:wordWrap/>
        <w:overflowPunct/>
        <w:topLinePunct w:val="0"/>
        <w:autoSpaceDE/>
        <w:autoSpaceDN/>
        <w:bidi w:val="0"/>
        <w:adjustRightInd/>
        <w:snapToGrid/>
        <w:spacing w:line="500" w:lineRule="exact"/>
        <w:ind w:left="0" w:leftChars="0" w:firstLine="560" w:firstLineChars="200"/>
        <w:textAlignment w:val="auto"/>
        <w:rPr>
          <w:rFonts w:hint="eastAsia" w:eastAsia="仿宋_GB2312"/>
          <w:sz w:val="28"/>
          <w:szCs w:val="28"/>
          <w:lang w:val="en-US" w:eastAsia="zh-CN"/>
        </w:rPr>
      </w:pPr>
      <w:r>
        <w:rPr>
          <w:rFonts w:hint="eastAsia" w:eastAsia="仿宋_GB2312"/>
          <w:sz w:val="28"/>
          <w:szCs w:val="28"/>
          <w:lang w:val="en-US" w:eastAsia="zh-CN"/>
        </w:rPr>
        <w:t>通过重庆市电子税务局、支付宝、微信、渝快办、重庆农商行APP等方式，自助办理选档缴费和缴费记录查询。</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eastAsia" w:eastAsia="仿宋_GB2312"/>
          <w:sz w:val="28"/>
          <w:szCs w:val="28"/>
          <w:lang w:val="en-US" w:eastAsia="zh-CN"/>
        </w:rPr>
      </w:pPr>
      <w:r>
        <w:rPr>
          <w:rFonts w:hint="eastAsia" w:eastAsia="仿宋_GB2312"/>
          <w:sz w:val="28"/>
          <w:szCs w:val="28"/>
          <w:lang w:val="en-US" w:eastAsia="zh-CN"/>
        </w:rPr>
        <w:drawing>
          <wp:anchor distT="0" distB="0" distL="114300" distR="114300" simplePos="0" relativeHeight="251660288" behindDoc="0" locked="0" layoutInCell="1" allowOverlap="1">
            <wp:simplePos x="0" y="0"/>
            <wp:positionH relativeFrom="column">
              <wp:posOffset>-803910</wp:posOffset>
            </wp:positionH>
            <wp:positionV relativeFrom="paragraph">
              <wp:posOffset>107315</wp:posOffset>
            </wp:positionV>
            <wp:extent cx="1197610" cy="1197610"/>
            <wp:effectExtent l="0" t="0" r="2540" b="2540"/>
            <wp:wrapSquare wrapText="bothSides"/>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5"/>
                    <a:stretch>
                      <a:fillRect/>
                    </a:stretch>
                  </pic:blipFill>
                  <pic:spPr>
                    <a:xfrm>
                      <a:off x="0" y="0"/>
                      <a:ext cx="1197610" cy="1197610"/>
                    </a:xfrm>
                    <a:prstGeom prst="rect">
                      <a:avLst/>
                    </a:prstGeom>
                    <a:noFill/>
                    <a:ln w="9525">
                      <a:noFill/>
                    </a:ln>
                  </pic:spPr>
                </pic:pic>
              </a:graphicData>
            </a:graphic>
          </wp:anchor>
        </w:drawing>
      </w:r>
      <w:r>
        <w:rPr>
          <w:rFonts w:hint="eastAsia" w:eastAsia="仿宋_GB2312"/>
          <w:sz w:val="28"/>
          <w:szCs w:val="28"/>
          <w:lang w:val="en-US" w:eastAsia="zh-CN"/>
        </w:rPr>
        <w:drawing>
          <wp:anchor distT="0" distB="0" distL="114300" distR="114300" simplePos="0" relativeHeight="251661312" behindDoc="0" locked="0" layoutInCell="1" allowOverlap="1">
            <wp:simplePos x="0" y="0"/>
            <wp:positionH relativeFrom="column">
              <wp:posOffset>444500</wp:posOffset>
            </wp:positionH>
            <wp:positionV relativeFrom="paragraph">
              <wp:posOffset>78105</wp:posOffset>
            </wp:positionV>
            <wp:extent cx="5210175" cy="4695825"/>
            <wp:effectExtent l="0" t="0" r="9525" b="9525"/>
            <wp:wrapTopAndBottom/>
            <wp:docPr id="6" name="图片 6" descr="2021091615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0210916151916"/>
                    <pic:cNvPicPr>
                      <a:picLocks noChangeAspect="1"/>
                    </pic:cNvPicPr>
                  </pic:nvPicPr>
                  <pic:blipFill>
                    <a:blip r:embed="rId6"/>
                    <a:stretch>
                      <a:fillRect/>
                    </a:stretch>
                  </pic:blipFill>
                  <pic:spPr>
                    <a:xfrm>
                      <a:off x="0" y="0"/>
                      <a:ext cx="5210175" cy="4695825"/>
                    </a:xfrm>
                    <a:prstGeom prst="rect">
                      <a:avLst/>
                    </a:prstGeom>
                  </pic:spPr>
                </pic:pic>
              </a:graphicData>
            </a:graphic>
          </wp:anchor>
        </w:drawing>
      </w:r>
      <w:r>
        <w:rPr>
          <w:rFonts w:hint="eastAsia" w:eastAsia="仿宋_GB2312"/>
          <w:sz w:val="28"/>
          <w:szCs w:val="28"/>
          <w:lang w:val="en-US" w:eastAsia="zh-CN"/>
        </w:rPr>
        <w:t>学生办理成功后辅导员收取所带班级学生社保费缴费证明截图,并填写</w:t>
      </w:r>
      <w:r>
        <w:rPr>
          <w:rFonts w:hint="eastAsia" w:eastAsia="仿宋_GB2312"/>
          <w:b/>
          <w:bCs/>
          <w:color w:val="auto"/>
          <w:sz w:val="28"/>
          <w:szCs w:val="28"/>
          <w:lang w:val="en-US" w:eastAsia="zh-CN"/>
        </w:rPr>
        <w:t>2021—2022学年度大学生合作医疗保险班级医保信息确认单（附件1）</w:t>
      </w:r>
      <w:r>
        <w:rPr>
          <w:rFonts w:hint="eastAsia" w:eastAsia="仿宋_GB2312"/>
          <w:sz w:val="28"/>
          <w:szCs w:val="28"/>
          <w:lang w:val="en-US" w:eastAsia="zh-CN"/>
        </w:rPr>
        <w:t>。</w:t>
      </w:r>
    </w:p>
    <w:p>
      <w:pPr>
        <w:keepNext w:val="0"/>
        <w:keepLines w:val="0"/>
        <w:pageBreakBefore w:val="0"/>
        <w:widowControl w:val="0"/>
        <w:kinsoku/>
        <w:wordWrap/>
        <w:overflowPunct/>
        <w:topLinePunct w:val="0"/>
        <w:autoSpaceDE/>
        <w:autoSpaceDN/>
        <w:bidi w:val="0"/>
        <w:adjustRightInd/>
        <w:snapToGrid/>
        <w:spacing w:line="500" w:lineRule="exact"/>
        <w:ind w:left="0" w:leftChars="0" w:firstLine="562" w:firstLineChars="200"/>
        <w:textAlignment w:val="auto"/>
        <w:rPr>
          <w:rFonts w:hint="eastAsia" w:eastAsia="仿宋_GB2312" w:cs="Times New Roman"/>
          <w:b/>
          <w:bCs/>
          <w:sz w:val="28"/>
          <w:szCs w:val="28"/>
          <w:lang w:val="en-US" w:eastAsia="zh-CN"/>
        </w:rPr>
      </w:pPr>
      <w:r>
        <w:rPr>
          <w:rFonts w:hint="eastAsia" w:eastAsia="仿宋_GB2312" w:cs="Times New Roman"/>
          <w:b/>
          <w:bCs/>
          <w:sz w:val="28"/>
          <w:szCs w:val="28"/>
          <w:lang w:val="en-US" w:eastAsia="zh-CN"/>
        </w:rPr>
        <w:t>（二）2021级学生</w:t>
      </w:r>
    </w:p>
    <w:p>
      <w:pPr>
        <w:spacing w:line="500" w:lineRule="exact"/>
        <w:ind w:firstLine="560" w:firstLineChars="200"/>
        <w:rPr>
          <w:rFonts w:hint="eastAsia" w:eastAsia="仿宋_GB2312"/>
          <w:color w:val="auto"/>
          <w:sz w:val="28"/>
          <w:szCs w:val="28"/>
        </w:rPr>
      </w:pPr>
      <w:r>
        <w:rPr>
          <w:rFonts w:hint="eastAsia" w:eastAsia="仿宋_GB2312"/>
          <w:color w:val="auto"/>
          <w:sz w:val="28"/>
          <w:szCs w:val="28"/>
        </w:rPr>
        <w:t>1．</w:t>
      </w:r>
      <w:r>
        <w:rPr>
          <w:rFonts w:hint="eastAsia" w:eastAsia="仿宋_GB2312"/>
          <w:color w:val="auto"/>
          <w:sz w:val="28"/>
          <w:szCs w:val="28"/>
          <w:lang w:val="en-US" w:eastAsia="zh-CN"/>
        </w:rPr>
        <w:t>9</w:t>
      </w:r>
      <w:r>
        <w:rPr>
          <w:rFonts w:hint="eastAsia" w:eastAsia="仿宋_GB2312"/>
          <w:color w:val="auto"/>
          <w:sz w:val="28"/>
          <w:szCs w:val="28"/>
        </w:rPr>
        <w:t>月</w:t>
      </w:r>
      <w:r>
        <w:rPr>
          <w:rFonts w:hint="eastAsia" w:eastAsia="仿宋_GB2312"/>
          <w:color w:val="auto"/>
          <w:sz w:val="28"/>
          <w:szCs w:val="28"/>
          <w:lang w:val="en-US" w:eastAsia="zh-CN"/>
        </w:rPr>
        <w:t>24</w:t>
      </w:r>
      <w:r>
        <w:rPr>
          <w:rFonts w:hint="eastAsia" w:eastAsia="仿宋_GB2312"/>
          <w:color w:val="auto"/>
          <w:sz w:val="28"/>
          <w:szCs w:val="28"/>
        </w:rPr>
        <w:t>日前辅导员根据</w:t>
      </w:r>
      <w:r>
        <w:rPr>
          <w:rFonts w:hint="eastAsia" w:eastAsia="仿宋_GB2312"/>
          <w:b/>
          <w:bCs/>
          <w:color w:val="auto"/>
          <w:sz w:val="28"/>
          <w:szCs w:val="28"/>
          <w:lang w:val="en-US" w:eastAsia="zh-CN"/>
        </w:rPr>
        <w:t>通知第六项、医保待遇</w:t>
      </w:r>
      <w:r>
        <w:rPr>
          <w:rFonts w:hint="eastAsia" w:eastAsia="仿宋_GB2312"/>
          <w:b/>
          <w:bCs/>
          <w:color w:val="auto"/>
          <w:sz w:val="28"/>
          <w:szCs w:val="28"/>
        </w:rPr>
        <w:t>召</w:t>
      </w:r>
      <w:r>
        <w:rPr>
          <w:rFonts w:hint="eastAsia" w:eastAsia="仿宋_GB2312"/>
          <w:color w:val="auto"/>
          <w:sz w:val="28"/>
          <w:szCs w:val="28"/>
        </w:rPr>
        <w:t>开主题教育班会，宣传大学生城乡合作医疗相关政策，鼓励大学生积极购买大学生医保。</w:t>
      </w:r>
      <w:r>
        <w:rPr>
          <w:rFonts w:hint="eastAsia" w:eastAsia="仿宋_GB2312"/>
          <w:color w:val="auto"/>
          <w:sz w:val="28"/>
          <w:szCs w:val="28"/>
          <w:lang w:val="en-US" w:eastAsia="zh-CN"/>
        </w:rPr>
        <w:t>并收集学生参保意愿，以班级为单位填写</w:t>
      </w:r>
      <w:r>
        <w:rPr>
          <w:rFonts w:hint="eastAsia" w:eastAsia="仿宋_GB2312"/>
          <w:b/>
          <w:bCs/>
          <w:color w:val="auto"/>
          <w:sz w:val="28"/>
          <w:szCs w:val="28"/>
          <w:lang w:val="en-US" w:eastAsia="zh-CN"/>
        </w:rPr>
        <w:t>2021—2022学年度大学生合作医疗保险班级医保信息确认单（附件1）</w:t>
      </w:r>
    </w:p>
    <w:p>
      <w:pPr>
        <w:spacing w:line="500" w:lineRule="exact"/>
        <w:ind w:firstLine="560" w:firstLineChars="200"/>
        <w:rPr>
          <w:rFonts w:hint="eastAsia" w:eastAsia="仿宋_GB2312"/>
          <w:color w:val="auto"/>
          <w:sz w:val="28"/>
          <w:szCs w:val="28"/>
        </w:rPr>
      </w:pPr>
      <w:r>
        <w:rPr>
          <w:rFonts w:hint="eastAsia" w:eastAsia="仿宋_GB2312"/>
          <w:color w:val="auto"/>
          <w:sz w:val="28"/>
          <w:szCs w:val="28"/>
        </w:rPr>
        <w:t>2．</w:t>
      </w:r>
      <w:r>
        <w:rPr>
          <w:rFonts w:hint="eastAsia" w:eastAsia="仿宋_GB2312"/>
          <w:color w:val="auto"/>
          <w:sz w:val="28"/>
          <w:szCs w:val="28"/>
          <w:lang w:val="en-US" w:eastAsia="zh-CN"/>
        </w:rPr>
        <w:t>9</w:t>
      </w:r>
      <w:r>
        <w:rPr>
          <w:rFonts w:hint="eastAsia" w:eastAsia="仿宋_GB2312"/>
          <w:color w:val="auto"/>
          <w:sz w:val="28"/>
          <w:szCs w:val="28"/>
        </w:rPr>
        <w:t>月</w:t>
      </w:r>
      <w:r>
        <w:rPr>
          <w:rFonts w:hint="eastAsia" w:eastAsia="仿宋_GB2312"/>
          <w:color w:val="auto"/>
          <w:sz w:val="28"/>
          <w:szCs w:val="28"/>
          <w:lang w:val="en-US" w:eastAsia="zh-CN"/>
        </w:rPr>
        <w:t>27</w:t>
      </w:r>
      <w:r>
        <w:rPr>
          <w:rFonts w:hint="eastAsia" w:eastAsia="仿宋_GB2312"/>
          <w:color w:val="auto"/>
          <w:sz w:val="28"/>
          <w:szCs w:val="28"/>
        </w:rPr>
        <w:t>日前，辅导员</w:t>
      </w:r>
      <w:r>
        <w:rPr>
          <w:rFonts w:hint="eastAsia" w:eastAsia="仿宋_GB2312"/>
          <w:color w:val="auto"/>
          <w:sz w:val="28"/>
          <w:szCs w:val="28"/>
          <w:lang w:val="en-US" w:eastAsia="zh-CN"/>
        </w:rPr>
        <w:t>根据</w:t>
      </w:r>
      <w:r>
        <w:rPr>
          <w:rFonts w:hint="eastAsia" w:eastAsia="仿宋_GB2312"/>
          <w:b/>
          <w:bCs/>
          <w:color w:val="auto"/>
          <w:sz w:val="28"/>
          <w:szCs w:val="28"/>
          <w:lang w:val="en-US" w:eastAsia="zh-CN"/>
        </w:rPr>
        <w:t>2021—2022学年度大学生合作医疗保险班级医保信息确认单（附件1）</w:t>
      </w:r>
      <w:r>
        <w:rPr>
          <w:rFonts w:hint="eastAsia" w:eastAsia="仿宋_GB2312"/>
          <w:color w:val="auto"/>
          <w:sz w:val="28"/>
          <w:szCs w:val="28"/>
        </w:rPr>
        <w:t>完成现场缴费</w:t>
      </w:r>
      <w:r>
        <w:rPr>
          <w:rFonts w:hint="eastAsia" w:eastAsia="仿宋_GB2312"/>
          <w:color w:val="auto"/>
          <w:sz w:val="28"/>
          <w:szCs w:val="28"/>
          <w:lang w:eastAsia="zh-CN"/>
        </w:rPr>
        <w:t>，</w:t>
      </w:r>
      <w:r>
        <w:rPr>
          <w:rFonts w:hint="eastAsia" w:eastAsia="仿宋_GB2312"/>
          <w:color w:val="auto"/>
          <w:sz w:val="28"/>
          <w:szCs w:val="28"/>
        </w:rPr>
        <w:t>每</w:t>
      </w:r>
      <w:r>
        <w:rPr>
          <w:rFonts w:hint="eastAsia" w:eastAsia="仿宋_GB2312"/>
          <w:color w:val="auto"/>
          <w:sz w:val="28"/>
          <w:szCs w:val="28"/>
          <w:lang w:val="en-US" w:eastAsia="zh-CN"/>
        </w:rPr>
        <w:t>一</w:t>
      </w:r>
      <w:r>
        <w:rPr>
          <w:rFonts w:hint="eastAsia" w:eastAsia="仿宋_GB2312"/>
          <w:color w:val="auto"/>
          <w:sz w:val="28"/>
          <w:szCs w:val="28"/>
        </w:rPr>
        <w:t>位学生</w:t>
      </w:r>
      <w:r>
        <w:rPr>
          <w:rFonts w:hint="eastAsia" w:eastAsia="仿宋_GB2312"/>
          <w:color w:val="auto"/>
          <w:sz w:val="28"/>
          <w:szCs w:val="28"/>
          <w:lang w:val="en-US" w:eastAsia="zh-CN"/>
        </w:rPr>
        <w:t>都</w:t>
      </w:r>
      <w:r>
        <w:rPr>
          <w:rFonts w:hint="eastAsia" w:eastAsia="仿宋_GB2312"/>
          <w:color w:val="auto"/>
          <w:sz w:val="28"/>
          <w:szCs w:val="28"/>
        </w:rPr>
        <w:t>需签字确认（</w:t>
      </w:r>
      <w:r>
        <w:rPr>
          <w:rFonts w:hint="eastAsia" w:eastAsia="仿宋_GB2312"/>
          <w:b/>
          <w:bCs/>
          <w:color w:val="auto"/>
          <w:sz w:val="28"/>
          <w:szCs w:val="28"/>
        </w:rPr>
        <w:t>不参保学生也需签字确认</w:t>
      </w:r>
      <w:r>
        <w:rPr>
          <w:rFonts w:hint="eastAsia" w:eastAsia="仿宋_GB2312"/>
          <w:color w:val="auto"/>
          <w:sz w:val="28"/>
          <w:szCs w:val="28"/>
        </w:rPr>
        <w:t>）。享受国家资助参保学生提交的贫困或重度残疾证明材料</w:t>
      </w:r>
      <w:r>
        <w:rPr>
          <w:rFonts w:hint="eastAsia" w:eastAsia="仿宋_GB2312"/>
          <w:color w:val="auto"/>
          <w:sz w:val="28"/>
          <w:szCs w:val="28"/>
          <w:lang w:val="en-US" w:eastAsia="zh-CN"/>
        </w:rPr>
        <w:t>需严格审核并</w:t>
      </w:r>
      <w:r>
        <w:rPr>
          <w:rFonts w:hint="eastAsia" w:eastAsia="仿宋_GB2312"/>
          <w:color w:val="auto"/>
          <w:sz w:val="28"/>
          <w:szCs w:val="28"/>
        </w:rPr>
        <w:t>由二级学院</w:t>
      </w:r>
      <w:r>
        <w:rPr>
          <w:rFonts w:hint="eastAsia" w:eastAsia="仿宋_GB2312"/>
          <w:b/>
          <w:bCs/>
          <w:color w:val="auto"/>
          <w:sz w:val="28"/>
          <w:szCs w:val="28"/>
        </w:rPr>
        <w:t>留存备查</w:t>
      </w:r>
      <w:r>
        <w:rPr>
          <w:rFonts w:hint="eastAsia" w:eastAsia="仿宋_GB2312"/>
          <w:color w:val="auto"/>
          <w:sz w:val="28"/>
          <w:szCs w:val="28"/>
        </w:rPr>
        <w:t>。</w:t>
      </w:r>
    </w:p>
    <w:p>
      <w:pPr>
        <w:numPr>
          <w:ilvl w:val="0"/>
          <w:numId w:val="0"/>
        </w:numPr>
        <w:spacing w:line="500" w:lineRule="exact"/>
        <w:ind w:firstLine="560" w:firstLineChars="200"/>
        <w:rPr>
          <w:rFonts w:hint="eastAsia" w:eastAsia="仿宋_GB2312"/>
          <w:color w:val="auto"/>
          <w:sz w:val="28"/>
          <w:szCs w:val="28"/>
        </w:rPr>
      </w:pPr>
      <w:r>
        <w:rPr>
          <w:rFonts w:hint="eastAsia" w:eastAsia="仿宋_GB2312"/>
          <w:color w:val="auto"/>
          <w:sz w:val="28"/>
          <w:szCs w:val="28"/>
        </w:rPr>
        <w:t>3．</w:t>
      </w:r>
      <w:r>
        <w:rPr>
          <w:rFonts w:hint="eastAsia" w:eastAsia="仿宋_GB2312"/>
          <w:color w:val="auto"/>
          <w:sz w:val="28"/>
          <w:szCs w:val="28"/>
          <w:lang w:val="en-US" w:eastAsia="zh-CN"/>
        </w:rPr>
        <w:t>9</w:t>
      </w:r>
      <w:r>
        <w:rPr>
          <w:rFonts w:hint="eastAsia" w:eastAsia="仿宋_GB2312"/>
          <w:color w:val="auto"/>
          <w:sz w:val="28"/>
          <w:szCs w:val="28"/>
        </w:rPr>
        <w:t>月</w:t>
      </w:r>
      <w:r>
        <w:rPr>
          <w:rFonts w:hint="eastAsia" w:eastAsia="仿宋_GB2312"/>
          <w:color w:val="auto"/>
          <w:sz w:val="28"/>
          <w:szCs w:val="28"/>
          <w:lang w:val="en-US" w:eastAsia="zh-CN"/>
        </w:rPr>
        <w:t>30</w:t>
      </w:r>
      <w:r>
        <w:rPr>
          <w:rFonts w:hint="eastAsia" w:eastAsia="仿宋_GB2312"/>
          <w:color w:val="auto"/>
          <w:sz w:val="28"/>
          <w:szCs w:val="28"/>
        </w:rPr>
        <w:t>日前以</w:t>
      </w:r>
      <w:r>
        <w:rPr>
          <w:rFonts w:hint="eastAsia" w:eastAsia="仿宋_GB2312"/>
          <w:b/>
          <w:bCs/>
          <w:color w:val="auto"/>
          <w:sz w:val="28"/>
          <w:szCs w:val="28"/>
        </w:rPr>
        <w:t>二级学院为单位</w:t>
      </w:r>
      <w:r>
        <w:rPr>
          <w:rFonts w:hint="eastAsia" w:eastAsia="仿宋_GB2312"/>
          <w:color w:val="auto"/>
          <w:sz w:val="28"/>
          <w:szCs w:val="28"/>
          <w:lang w:eastAsia="zh-CN"/>
        </w:rPr>
        <w:t>，</w:t>
      </w:r>
      <w:r>
        <w:rPr>
          <w:rFonts w:hint="eastAsia" w:eastAsia="仿宋_GB2312"/>
          <w:color w:val="auto"/>
          <w:sz w:val="28"/>
          <w:szCs w:val="28"/>
        </w:rPr>
        <w:t>将参保保费交至校财务处</w:t>
      </w:r>
      <w:r>
        <w:rPr>
          <w:rFonts w:hint="eastAsia" w:eastAsia="仿宋_GB2312"/>
          <w:color w:val="auto"/>
          <w:sz w:val="28"/>
          <w:szCs w:val="28"/>
          <w:lang w:val="en-US" w:eastAsia="zh-CN"/>
        </w:rPr>
        <w:t>王晓娟老师</w:t>
      </w:r>
      <w:r>
        <w:rPr>
          <w:rFonts w:hint="eastAsia" w:eastAsia="仿宋_GB2312"/>
          <w:color w:val="auto"/>
          <w:sz w:val="28"/>
          <w:szCs w:val="28"/>
        </w:rPr>
        <w:t>处结算，并将校财务处出具的</w:t>
      </w:r>
      <w:r>
        <w:rPr>
          <w:rFonts w:hint="eastAsia" w:eastAsia="仿宋_GB2312"/>
          <w:b/>
          <w:bCs/>
          <w:color w:val="C00000"/>
          <w:sz w:val="28"/>
          <w:szCs w:val="28"/>
        </w:rPr>
        <w:t>结算发票</w:t>
      </w:r>
      <w:r>
        <w:rPr>
          <w:rFonts w:hint="eastAsia" w:eastAsia="仿宋_GB2312"/>
          <w:b w:val="0"/>
          <w:bCs w:val="0"/>
          <w:color w:val="C00000"/>
          <w:sz w:val="28"/>
          <w:szCs w:val="28"/>
          <w:lang w:val="en-US" w:eastAsia="zh-CN"/>
        </w:rPr>
        <w:t>原件或</w:t>
      </w:r>
      <w:r>
        <w:rPr>
          <w:rFonts w:hint="eastAsia" w:eastAsia="仿宋_GB2312"/>
          <w:b w:val="0"/>
          <w:bCs w:val="0"/>
          <w:color w:val="C00000"/>
          <w:sz w:val="28"/>
          <w:szCs w:val="28"/>
        </w:rPr>
        <w:t>复印件</w:t>
      </w:r>
      <w:r>
        <w:rPr>
          <w:rFonts w:hint="eastAsia" w:eastAsia="仿宋_GB2312"/>
          <w:color w:val="auto"/>
          <w:sz w:val="28"/>
          <w:szCs w:val="28"/>
        </w:rPr>
        <w:t>连同</w:t>
      </w:r>
      <w:r>
        <w:rPr>
          <w:rFonts w:hint="eastAsia" w:eastAsia="仿宋_GB2312"/>
          <w:b/>
          <w:bCs/>
          <w:color w:val="auto"/>
          <w:sz w:val="28"/>
          <w:szCs w:val="28"/>
        </w:rPr>
        <w:t>确认后的</w:t>
      </w:r>
      <w:r>
        <w:rPr>
          <w:rFonts w:hint="eastAsia" w:eastAsia="仿宋_GB2312"/>
          <w:b/>
          <w:bCs/>
          <w:color w:val="C00000"/>
          <w:sz w:val="28"/>
          <w:szCs w:val="28"/>
        </w:rPr>
        <w:t>20</w:t>
      </w:r>
      <w:r>
        <w:rPr>
          <w:rFonts w:hint="eastAsia" w:eastAsia="仿宋_GB2312"/>
          <w:b/>
          <w:bCs/>
          <w:color w:val="C00000"/>
          <w:sz w:val="28"/>
          <w:szCs w:val="28"/>
          <w:lang w:val="en-US" w:eastAsia="zh-CN"/>
        </w:rPr>
        <w:t>21</w:t>
      </w:r>
      <w:r>
        <w:rPr>
          <w:rFonts w:hint="eastAsia" w:eastAsia="仿宋_GB2312"/>
          <w:b/>
          <w:bCs/>
          <w:color w:val="C00000"/>
          <w:sz w:val="28"/>
          <w:szCs w:val="28"/>
        </w:rPr>
        <w:t>—202</w:t>
      </w:r>
      <w:r>
        <w:rPr>
          <w:rFonts w:hint="eastAsia" w:eastAsia="仿宋_GB2312"/>
          <w:b/>
          <w:bCs/>
          <w:color w:val="C00000"/>
          <w:sz w:val="28"/>
          <w:szCs w:val="28"/>
          <w:lang w:val="en-US" w:eastAsia="zh-CN"/>
        </w:rPr>
        <w:t>2</w:t>
      </w:r>
      <w:r>
        <w:rPr>
          <w:rFonts w:hint="eastAsia" w:eastAsia="仿宋_GB2312"/>
          <w:b/>
          <w:bCs/>
          <w:color w:val="C00000"/>
          <w:sz w:val="28"/>
          <w:szCs w:val="28"/>
        </w:rPr>
        <w:t>学年度大学生合作医疗保险</w:t>
      </w:r>
      <w:r>
        <w:rPr>
          <w:rFonts w:hint="eastAsia" w:eastAsia="仿宋_GB2312"/>
          <w:b/>
          <w:bCs/>
          <w:color w:val="C00000"/>
          <w:sz w:val="28"/>
          <w:szCs w:val="28"/>
          <w:lang w:val="en-US" w:eastAsia="zh-CN"/>
        </w:rPr>
        <w:t>二级学院</w:t>
      </w:r>
      <w:r>
        <w:rPr>
          <w:rFonts w:hint="eastAsia" w:eastAsia="仿宋_GB2312"/>
          <w:b/>
          <w:bCs/>
          <w:color w:val="C00000"/>
          <w:sz w:val="28"/>
          <w:szCs w:val="28"/>
        </w:rPr>
        <w:t>汇总表</w:t>
      </w:r>
      <w:r>
        <w:rPr>
          <w:rFonts w:hint="eastAsia" w:eastAsia="仿宋_GB2312"/>
          <w:b/>
          <w:bCs/>
          <w:color w:val="C00000"/>
          <w:sz w:val="28"/>
          <w:szCs w:val="28"/>
          <w:lang w:eastAsia="zh-CN"/>
        </w:rPr>
        <w:t>（</w:t>
      </w:r>
      <w:r>
        <w:rPr>
          <w:rFonts w:hint="eastAsia" w:eastAsia="仿宋_GB2312"/>
          <w:b/>
          <w:bCs/>
          <w:color w:val="C00000"/>
          <w:sz w:val="28"/>
          <w:szCs w:val="28"/>
          <w:lang w:val="en-US" w:eastAsia="zh-CN"/>
        </w:rPr>
        <w:t>附件2</w:t>
      </w:r>
      <w:r>
        <w:rPr>
          <w:rFonts w:hint="eastAsia" w:eastAsia="仿宋_GB2312"/>
          <w:b w:val="0"/>
          <w:bCs w:val="0"/>
          <w:color w:val="auto"/>
          <w:sz w:val="28"/>
          <w:szCs w:val="28"/>
          <w:lang w:eastAsia="zh-CN"/>
        </w:rPr>
        <w:t>）</w:t>
      </w:r>
      <w:r>
        <w:rPr>
          <w:rFonts w:hint="eastAsia" w:eastAsia="仿宋_GB2312"/>
          <w:b/>
          <w:bCs/>
          <w:color w:val="auto"/>
          <w:sz w:val="28"/>
          <w:szCs w:val="28"/>
        </w:rPr>
        <w:t>以及签字确认后的</w:t>
      </w:r>
      <w:r>
        <w:rPr>
          <w:rFonts w:hint="eastAsia" w:eastAsia="仿宋_GB2312"/>
          <w:b/>
          <w:bCs/>
          <w:color w:val="C00000"/>
          <w:sz w:val="28"/>
          <w:szCs w:val="28"/>
          <w:lang w:val="en-US" w:eastAsia="zh-CN"/>
        </w:rPr>
        <w:t>2021—2022学年度大学生合作医疗保险班级医保信息确认单（附件1）</w:t>
      </w:r>
      <w:r>
        <w:rPr>
          <w:rFonts w:hint="eastAsia" w:eastAsia="仿宋_GB2312"/>
          <w:color w:val="C00000"/>
          <w:sz w:val="28"/>
          <w:szCs w:val="28"/>
          <w:lang w:val="en-US" w:eastAsia="zh-CN"/>
        </w:rPr>
        <w:t>（</w:t>
      </w:r>
      <w:r>
        <w:rPr>
          <w:rFonts w:hint="eastAsia" w:eastAsia="仿宋_GB2312"/>
          <w:b/>
          <w:bCs/>
          <w:color w:val="C00000"/>
          <w:sz w:val="28"/>
          <w:szCs w:val="28"/>
          <w:lang w:val="en-US" w:eastAsia="zh-CN"/>
        </w:rPr>
        <w:t>请分年级完整填写表格</w:t>
      </w:r>
      <w:r>
        <w:rPr>
          <w:rFonts w:hint="eastAsia" w:eastAsia="仿宋_GB2312"/>
          <w:color w:val="C00000"/>
          <w:sz w:val="28"/>
          <w:szCs w:val="28"/>
          <w:lang w:val="en-US" w:eastAsia="zh-CN"/>
        </w:rPr>
        <w:t>）</w:t>
      </w:r>
      <w:r>
        <w:rPr>
          <w:rFonts w:hint="eastAsia" w:eastAsia="仿宋_GB2312"/>
          <w:b/>
          <w:bCs/>
          <w:color w:val="auto"/>
          <w:sz w:val="28"/>
          <w:szCs w:val="28"/>
        </w:rPr>
        <w:t>加盖学院公章后</w:t>
      </w:r>
      <w:r>
        <w:rPr>
          <w:rFonts w:hint="eastAsia" w:eastAsia="仿宋_GB2312"/>
          <w:color w:val="auto"/>
          <w:sz w:val="28"/>
          <w:szCs w:val="28"/>
        </w:rPr>
        <w:t>一并报送至学生处邓园奕登记核实</w:t>
      </w:r>
      <w:r>
        <w:rPr>
          <w:rFonts w:hint="eastAsia" w:eastAsia="仿宋_GB2312"/>
          <w:color w:val="auto"/>
          <w:sz w:val="28"/>
          <w:szCs w:val="28"/>
          <w:lang w:eastAsia="zh-CN"/>
        </w:rPr>
        <w:t>，</w:t>
      </w:r>
      <w:r>
        <w:rPr>
          <w:rFonts w:hint="eastAsia" w:eastAsia="仿宋_GB2312"/>
          <w:b/>
          <w:bCs/>
          <w:color w:val="C00000"/>
          <w:sz w:val="28"/>
          <w:szCs w:val="28"/>
          <w:lang w:val="en-US" w:eastAsia="zh-CN"/>
        </w:rPr>
        <w:t>电子档发送至</w:t>
      </w:r>
      <w:r>
        <w:rPr>
          <w:rFonts w:hint="eastAsia" w:eastAsia="仿宋_GB2312"/>
          <w:b/>
          <w:bCs/>
          <w:color w:val="C00000"/>
          <w:sz w:val="28"/>
          <w:szCs w:val="28"/>
        </w:rPr>
        <w:t>邓园奕</w:t>
      </w:r>
      <w:r>
        <w:rPr>
          <w:rFonts w:hint="eastAsia" w:eastAsia="仿宋_GB2312"/>
          <w:b/>
          <w:bCs/>
          <w:color w:val="C00000"/>
          <w:sz w:val="28"/>
          <w:szCs w:val="28"/>
          <w:lang w:val="en-US" w:eastAsia="zh-CN"/>
        </w:rPr>
        <w:t>OA邮箱</w:t>
      </w:r>
      <w:r>
        <w:rPr>
          <w:rFonts w:hint="eastAsia" w:eastAsia="仿宋_GB2312"/>
          <w:color w:val="auto"/>
          <w:sz w:val="28"/>
          <w:szCs w:val="28"/>
          <w:lang w:val="en-US" w:eastAsia="zh-CN"/>
        </w:rPr>
        <w:t>。保费核对无误后由财务处</w:t>
      </w:r>
      <w:r>
        <w:rPr>
          <w:rFonts w:hint="eastAsia" w:eastAsia="仿宋_GB2312"/>
          <w:b w:val="0"/>
          <w:bCs w:val="0"/>
          <w:color w:val="auto"/>
          <w:sz w:val="28"/>
          <w:szCs w:val="28"/>
        </w:rPr>
        <w:t>统</w:t>
      </w:r>
      <w:r>
        <w:rPr>
          <w:rFonts w:hint="eastAsia" w:eastAsia="仿宋_GB2312"/>
          <w:b/>
          <w:bCs/>
          <w:color w:val="auto"/>
          <w:sz w:val="28"/>
          <w:szCs w:val="28"/>
        </w:rPr>
        <w:t>一</w:t>
      </w:r>
      <w:r>
        <w:rPr>
          <w:rFonts w:hint="eastAsia" w:eastAsia="仿宋_GB2312"/>
          <w:b w:val="0"/>
          <w:bCs w:val="0"/>
          <w:color w:val="auto"/>
          <w:sz w:val="28"/>
          <w:szCs w:val="28"/>
          <w:lang w:val="en-US" w:eastAsia="zh-CN"/>
        </w:rPr>
        <w:t>对公</w:t>
      </w:r>
      <w:r>
        <w:rPr>
          <w:rFonts w:hint="eastAsia" w:eastAsia="仿宋_GB2312"/>
          <w:color w:val="auto"/>
          <w:sz w:val="28"/>
          <w:szCs w:val="28"/>
        </w:rPr>
        <w:t>划拨至城乡居民合作医疗保险基金财政专户。</w:t>
      </w:r>
    </w:p>
    <w:p>
      <w:pPr>
        <w:keepNext w:val="0"/>
        <w:keepLines w:val="0"/>
        <w:pageBreakBefore w:val="0"/>
        <w:widowControl w:val="0"/>
        <w:kinsoku/>
        <w:wordWrap/>
        <w:overflowPunct/>
        <w:topLinePunct w:val="0"/>
        <w:autoSpaceDE/>
        <w:autoSpaceDN/>
        <w:bidi w:val="0"/>
        <w:adjustRightInd/>
        <w:snapToGrid/>
        <w:spacing w:line="500" w:lineRule="exact"/>
        <w:ind w:left="0" w:leftChars="0" w:firstLine="562" w:firstLineChars="200"/>
        <w:textAlignment w:val="auto"/>
        <w:rPr>
          <w:rFonts w:hint="eastAsia" w:eastAsia="仿宋_GB2312"/>
          <w:b/>
          <w:color w:val="auto"/>
          <w:sz w:val="28"/>
          <w:szCs w:val="28"/>
          <w:lang w:val="en-US" w:eastAsia="zh-CN"/>
        </w:rPr>
      </w:pPr>
      <w:r>
        <w:rPr>
          <w:rFonts w:hint="eastAsia" w:eastAsia="仿宋_GB2312"/>
          <w:b/>
          <w:color w:val="auto"/>
          <w:sz w:val="28"/>
          <w:szCs w:val="28"/>
          <w:lang w:val="en-US" w:eastAsia="zh-CN"/>
        </w:rPr>
        <w:t>五</w:t>
      </w:r>
      <w:r>
        <w:rPr>
          <w:rFonts w:eastAsia="仿宋_GB2312"/>
          <w:b/>
          <w:color w:val="auto"/>
          <w:sz w:val="28"/>
          <w:szCs w:val="28"/>
        </w:rPr>
        <w:t>、参保学生就诊</w:t>
      </w:r>
      <w:r>
        <w:rPr>
          <w:rFonts w:hint="eastAsia" w:eastAsia="仿宋_GB2312"/>
          <w:b/>
          <w:color w:val="auto"/>
          <w:sz w:val="28"/>
          <w:szCs w:val="28"/>
          <w:lang w:val="en-US" w:eastAsia="zh-CN"/>
        </w:rPr>
        <w:t>及报销</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eastAsia" w:eastAsia="仿宋_GB2312"/>
          <w:color w:val="auto"/>
          <w:sz w:val="28"/>
          <w:szCs w:val="28"/>
          <w:lang w:val="en-US" w:eastAsia="zh-CN"/>
        </w:rPr>
      </w:pPr>
      <w:r>
        <w:rPr>
          <w:rFonts w:hint="eastAsia" w:eastAsia="仿宋_GB2312"/>
          <w:color w:val="auto"/>
          <w:sz w:val="28"/>
          <w:szCs w:val="28"/>
          <w:lang w:val="en-US" w:eastAsia="zh-CN"/>
        </w:rPr>
        <w:t>大学生参保缴费后，其医保待遇享受时间为当年的9月1日至次年的8月31日。具有本市户籍的大学新生在其入学前已在当地参加我市居民医保的，入学后应参加大学生医保，并按规定享受大学生医疗保险待遇，原户籍地的居民医保住院和特病待遇中止</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eastAsia" w:eastAsia="仿宋_GB2312"/>
          <w:color w:val="auto"/>
          <w:sz w:val="28"/>
          <w:szCs w:val="28"/>
          <w:lang w:val="en-US" w:eastAsia="zh-CN"/>
        </w:rPr>
      </w:pPr>
      <w:r>
        <w:rPr>
          <w:rFonts w:hint="eastAsia" w:eastAsia="仿宋_GB2312"/>
          <w:color w:val="auto"/>
          <w:sz w:val="28"/>
          <w:szCs w:val="28"/>
          <w:lang w:val="en-US" w:eastAsia="zh-CN"/>
        </w:rPr>
        <w:t>参保学生就诊、住院应去公立医保定点医院，否则，医疗费用不予报销。学生就诊、住院之初和结帐时，一定要向医院医保中心出示身份证。重庆市所有的城乡居民合作医疗定点医院（公立医院）均可以现场直接结算，重庆市以外的医院则不能现场结算，对不能现场直接结算的医院，则需要把住院资料（出院发票原件、出院记录、出院证明、住院分类汇总清单、身份证复印件、重庆市大学生居民医疗保险市外住院申报表等）交到医务科许清华老师处核算报销。</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eastAsia" w:eastAsia="仿宋_GB2312"/>
          <w:color w:val="auto"/>
          <w:sz w:val="28"/>
          <w:szCs w:val="28"/>
          <w:lang w:val="en-US" w:eastAsia="zh-CN"/>
        </w:rPr>
      </w:pPr>
      <w:r>
        <w:rPr>
          <w:rFonts w:hint="eastAsia" w:eastAsia="仿宋_GB2312"/>
          <w:color w:val="auto"/>
          <w:sz w:val="28"/>
          <w:szCs w:val="28"/>
          <w:lang w:val="en-US" w:eastAsia="zh-CN"/>
        </w:rPr>
        <w:t>医保报销分为门诊和住院两类。普通门诊只能在校医院刷卡报销，每人每年可报销费用不低于其参保缴纳金额。住院报销标准、具体报销流程、用药规定及其他注意事项详见附件1或电话咨询医务科许清华老师86968830。</w:t>
      </w:r>
    </w:p>
    <w:p>
      <w:pPr>
        <w:keepNext w:val="0"/>
        <w:keepLines w:val="0"/>
        <w:pageBreakBefore w:val="0"/>
        <w:widowControl w:val="0"/>
        <w:kinsoku/>
        <w:wordWrap/>
        <w:overflowPunct/>
        <w:topLinePunct w:val="0"/>
        <w:autoSpaceDE/>
        <w:autoSpaceDN/>
        <w:bidi w:val="0"/>
        <w:adjustRightInd/>
        <w:snapToGrid/>
        <w:spacing w:line="500" w:lineRule="exact"/>
        <w:ind w:left="0" w:leftChars="0" w:firstLine="562" w:firstLineChars="200"/>
        <w:textAlignment w:val="auto"/>
        <w:rPr>
          <w:rFonts w:hint="eastAsia" w:eastAsia="仿宋_GB2312"/>
          <w:b/>
          <w:color w:val="auto"/>
          <w:sz w:val="28"/>
          <w:szCs w:val="28"/>
          <w:lang w:val="en-US" w:eastAsia="zh-CN"/>
        </w:rPr>
      </w:pPr>
      <w:r>
        <w:rPr>
          <w:rFonts w:hint="eastAsia" w:eastAsia="仿宋_GB2312"/>
          <w:b/>
          <w:color w:val="auto"/>
          <w:sz w:val="28"/>
          <w:szCs w:val="28"/>
          <w:lang w:val="en-US" w:eastAsia="zh-CN"/>
        </w:rPr>
        <w:t>六、医保待遇</w:t>
      </w:r>
    </w:p>
    <w:p>
      <w:pPr>
        <w:keepNext w:val="0"/>
        <w:keepLines w:val="0"/>
        <w:pageBreakBefore w:val="0"/>
        <w:widowControl w:val="0"/>
        <w:kinsoku/>
        <w:wordWrap/>
        <w:overflowPunct/>
        <w:topLinePunct w:val="0"/>
        <w:autoSpaceDE/>
        <w:autoSpaceDN/>
        <w:bidi w:val="0"/>
        <w:adjustRightInd/>
        <w:snapToGrid/>
        <w:spacing w:line="500" w:lineRule="exact"/>
        <w:ind w:left="0" w:leftChars="0" w:firstLine="562" w:firstLineChars="200"/>
        <w:textAlignment w:val="auto"/>
        <w:rPr>
          <w:rFonts w:hint="eastAsia" w:eastAsia="仿宋_GB2312"/>
          <w:b/>
          <w:color w:val="auto"/>
          <w:sz w:val="28"/>
          <w:szCs w:val="28"/>
          <w:lang w:eastAsia="zh-CN"/>
        </w:rPr>
      </w:pPr>
      <w:r>
        <w:rPr>
          <w:rFonts w:hint="eastAsia" w:eastAsia="仿宋_GB2312"/>
          <w:b/>
          <w:bCs/>
          <w:sz w:val="28"/>
          <w:szCs w:val="28"/>
          <w:lang w:val="en-US" w:eastAsia="zh-CN"/>
        </w:rPr>
        <w:t>（一）</w:t>
      </w:r>
      <w:r>
        <w:rPr>
          <w:rFonts w:hint="eastAsia" w:eastAsia="仿宋_GB2312"/>
          <w:b/>
          <w:color w:val="auto"/>
          <w:sz w:val="28"/>
          <w:szCs w:val="28"/>
          <w:lang w:eastAsia="zh-CN"/>
        </w:rPr>
        <w:t>大学生在校参保待遇优势</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eastAsia" w:eastAsia="仿宋_GB2312"/>
          <w:color w:val="auto"/>
          <w:sz w:val="28"/>
          <w:szCs w:val="28"/>
          <w:lang w:val="en-US" w:eastAsia="zh-CN"/>
        </w:rPr>
      </w:pPr>
      <w:r>
        <w:rPr>
          <w:rFonts w:hint="eastAsia" w:eastAsia="仿宋_GB2312"/>
          <w:color w:val="auto"/>
          <w:sz w:val="28"/>
          <w:szCs w:val="28"/>
          <w:lang w:val="en-US" w:eastAsia="zh-CN"/>
        </w:rPr>
        <w:t>1、报销范围广</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default" w:eastAsia="仿宋_GB2312"/>
          <w:color w:val="auto"/>
          <w:sz w:val="28"/>
          <w:szCs w:val="28"/>
          <w:lang w:val="en-US" w:eastAsia="zh-CN"/>
        </w:rPr>
      </w:pPr>
      <w:r>
        <w:rPr>
          <w:rFonts w:hint="eastAsia" w:eastAsia="仿宋_GB2312"/>
          <w:color w:val="auto"/>
          <w:sz w:val="28"/>
          <w:szCs w:val="28"/>
          <w:lang w:val="en-US" w:eastAsia="zh-CN"/>
        </w:rPr>
        <w:t>大学生医保在享受普通门诊、特病门诊、普通住院、产前检查和住院分娩等普通居民医保报销基础上，增加了大学生意外伤害门诊。</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eastAsia" w:eastAsia="仿宋_GB2312"/>
          <w:color w:val="auto"/>
          <w:sz w:val="28"/>
          <w:szCs w:val="28"/>
          <w:lang w:val="en-US" w:eastAsia="zh-CN"/>
        </w:rPr>
      </w:pPr>
      <w:r>
        <w:rPr>
          <w:rFonts w:hint="eastAsia" w:eastAsia="仿宋_GB2312"/>
          <w:color w:val="auto"/>
          <w:sz w:val="28"/>
          <w:szCs w:val="28"/>
          <w:lang w:val="en-US" w:eastAsia="zh-CN"/>
        </w:rPr>
        <w:t>2、报销比例高</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default" w:eastAsia="仿宋_GB2312"/>
          <w:color w:val="auto"/>
          <w:sz w:val="28"/>
          <w:szCs w:val="28"/>
          <w:lang w:val="en-US" w:eastAsia="zh-CN"/>
        </w:rPr>
      </w:pPr>
      <w:r>
        <w:rPr>
          <w:rFonts w:hint="eastAsia" w:eastAsia="仿宋_GB2312"/>
          <w:color w:val="auto"/>
          <w:sz w:val="28"/>
          <w:szCs w:val="28"/>
          <w:lang w:val="en-US" w:eastAsia="zh-CN"/>
        </w:rPr>
        <w:t>大学生医保在陆军军医大学附属医院、重庆医科大学附属医院等三级医疗机构住院就医时，其报销比例一档60%，二档65%，较普通居民医保一档高20%，二档高15%。</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eastAsia" w:eastAsia="仿宋_GB2312"/>
          <w:color w:val="auto"/>
          <w:sz w:val="28"/>
          <w:szCs w:val="28"/>
          <w:lang w:val="en-US" w:eastAsia="zh-CN"/>
        </w:rPr>
      </w:pPr>
      <w:r>
        <w:rPr>
          <w:rFonts w:hint="eastAsia" w:eastAsia="仿宋_GB2312"/>
          <w:color w:val="auto"/>
          <w:sz w:val="28"/>
          <w:szCs w:val="28"/>
          <w:lang w:val="en-US" w:eastAsia="zh-CN"/>
        </w:rPr>
        <w:t>3、报销额度大</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eastAsia" w:eastAsia="仿宋_GB2312"/>
          <w:color w:val="auto"/>
          <w:sz w:val="28"/>
          <w:szCs w:val="28"/>
          <w:lang w:val="en-US" w:eastAsia="zh-CN"/>
        </w:rPr>
      </w:pPr>
      <w:r>
        <w:rPr>
          <w:rFonts w:hint="eastAsia" w:eastAsia="仿宋_GB2312"/>
          <w:color w:val="auto"/>
          <w:sz w:val="28"/>
          <w:szCs w:val="28"/>
          <w:lang w:val="en-US" w:eastAsia="zh-CN"/>
        </w:rPr>
        <w:t>普通居民医保年报销限额一档8万元、二档12万元，大学生医保一档参保人患有特殊疾病中重大疾病的，其年报销限额调整至10万元；大学生医保独有意外伤害门诊，其报销封顶线为1000元/人·年。</w:t>
      </w:r>
    </w:p>
    <w:p>
      <w:pPr>
        <w:spacing w:line="500" w:lineRule="exact"/>
        <w:ind w:firstLine="560" w:firstLineChars="200"/>
        <w:rPr>
          <w:rFonts w:hint="eastAsia" w:eastAsia="仿宋_GB2312"/>
          <w:b w:val="0"/>
          <w:bCs w:val="0"/>
          <w:color w:val="auto"/>
          <w:sz w:val="28"/>
          <w:szCs w:val="28"/>
          <w:lang w:val="en-US" w:eastAsia="zh-CN"/>
        </w:rPr>
      </w:pPr>
      <w:r>
        <w:rPr>
          <w:rFonts w:hint="eastAsia" w:eastAsia="仿宋_GB2312"/>
          <w:b w:val="0"/>
          <w:bCs w:val="0"/>
          <w:color w:val="auto"/>
          <w:sz w:val="28"/>
          <w:szCs w:val="28"/>
          <w:lang w:val="en-US" w:eastAsia="zh-CN"/>
        </w:rPr>
        <w:drawing>
          <wp:anchor distT="0" distB="0" distL="114300" distR="114300" simplePos="0" relativeHeight="251659264" behindDoc="1" locked="0" layoutInCell="1" allowOverlap="1">
            <wp:simplePos x="0" y="0"/>
            <wp:positionH relativeFrom="column">
              <wp:posOffset>-149860</wp:posOffset>
            </wp:positionH>
            <wp:positionV relativeFrom="paragraph">
              <wp:posOffset>9525</wp:posOffset>
            </wp:positionV>
            <wp:extent cx="989965" cy="1094105"/>
            <wp:effectExtent l="0" t="0" r="635" b="10795"/>
            <wp:wrapTight wrapText="bothSides">
              <wp:wrapPolygon>
                <wp:start x="0" y="0"/>
                <wp:lineTo x="0" y="21061"/>
                <wp:lineTo x="21198" y="21061"/>
                <wp:lineTo x="21198" y="0"/>
                <wp:lineTo x="0" y="0"/>
              </wp:wrapPolygon>
            </wp:wrapTight>
            <wp:docPr id="1" name="图片 2" descr="4_FJA`0XJNUZTXZ9J0DT4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4_FJA`0XJNUZTXZ9J0DT4R3"/>
                    <pic:cNvPicPr>
                      <a:picLocks noChangeAspect="1"/>
                    </pic:cNvPicPr>
                  </pic:nvPicPr>
                  <pic:blipFill>
                    <a:blip r:embed="rId7"/>
                    <a:stretch>
                      <a:fillRect/>
                    </a:stretch>
                  </pic:blipFill>
                  <pic:spPr>
                    <a:xfrm>
                      <a:off x="0" y="0"/>
                      <a:ext cx="989965" cy="1094105"/>
                    </a:xfrm>
                    <a:prstGeom prst="rect">
                      <a:avLst/>
                    </a:prstGeom>
                    <a:noFill/>
                    <a:ln>
                      <a:noFill/>
                    </a:ln>
                  </pic:spPr>
                </pic:pic>
              </a:graphicData>
            </a:graphic>
          </wp:anchor>
        </w:drawing>
      </w:r>
    </w:p>
    <w:p>
      <w:pPr>
        <w:spacing w:line="500" w:lineRule="exact"/>
        <w:rPr>
          <w:rFonts w:hint="eastAsia" w:eastAsia="仿宋_GB2312"/>
          <w:b w:val="0"/>
          <w:bCs w:val="0"/>
          <w:color w:val="auto"/>
          <w:sz w:val="28"/>
          <w:szCs w:val="28"/>
          <w:lang w:val="en-US" w:eastAsia="zh-CN"/>
        </w:rPr>
      </w:pPr>
      <w:r>
        <w:rPr>
          <w:rFonts w:hint="eastAsia" w:eastAsia="仿宋_GB2312"/>
          <w:b w:val="0"/>
          <w:bCs w:val="0"/>
          <w:color w:val="auto"/>
          <w:sz w:val="28"/>
          <w:szCs w:val="28"/>
          <w:lang w:val="en-US" w:eastAsia="zh-CN"/>
        </w:rPr>
        <w:t>扫码关注“重庆医保微信公众号”，医保资讯全知道；</w:t>
      </w:r>
    </w:p>
    <w:p>
      <w:pPr>
        <w:spacing w:line="500" w:lineRule="exact"/>
        <w:ind w:firstLine="560" w:firstLineChars="200"/>
        <w:rPr>
          <w:rFonts w:hint="eastAsia" w:eastAsia="仿宋_GB2312"/>
          <w:b w:val="0"/>
          <w:bCs w:val="0"/>
          <w:color w:val="auto"/>
          <w:sz w:val="28"/>
          <w:szCs w:val="28"/>
          <w:lang w:val="en-US" w:eastAsia="zh-CN"/>
        </w:rPr>
      </w:pPr>
      <w:r>
        <w:rPr>
          <w:rFonts w:hint="eastAsia" w:eastAsia="仿宋_GB2312"/>
          <w:b w:val="0"/>
          <w:bCs w:val="0"/>
          <w:color w:val="auto"/>
          <w:sz w:val="28"/>
          <w:szCs w:val="28"/>
          <w:lang w:val="en-US" w:eastAsia="zh-CN"/>
        </w:rPr>
        <w:t>注册电子医保码，一码在手，就医无忧。</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rPr>
          <w:rFonts w:hint="eastAsia" w:eastAsia="仿宋_GB2312"/>
          <w:b/>
          <w:bCs/>
          <w:sz w:val="28"/>
          <w:szCs w:val="28"/>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562" w:firstLineChars="200"/>
        <w:textAlignment w:val="auto"/>
        <w:rPr>
          <w:rFonts w:hint="eastAsia" w:eastAsia="仿宋_GB2312"/>
          <w:b/>
          <w:bCs/>
          <w:sz w:val="28"/>
          <w:szCs w:val="28"/>
          <w:lang w:val="en-US" w:eastAsia="zh-CN"/>
        </w:rPr>
      </w:pPr>
      <w:r>
        <w:rPr>
          <w:rFonts w:hint="eastAsia" w:eastAsia="仿宋_GB2312"/>
          <w:b/>
          <w:bCs/>
          <w:sz w:val="28"/>
          <w:szCs w:val="28"/>
          <w:lang w:val="en-US" w:eastAsia="zh-CN"/>
        </w:rPr>
        <w:t>（二）普通门诊</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eastAsia" w:eastAsia="仿宋_GB2312"/>
          <w:b w:val="0"/>
          <w:bCs w:val="0"/>
          <w:color w:val="auto"/>
          <w:sz w:val="28"/>
          <w:szCs w:val="28"/>
          <w:lang w:val="en-US" w:eastAsia="zh-CN"/>
        </w:rPr>
      </w:pPr>
      <w:r>
        <w:rPr>
          <w:rFonts w:hint="eastAsia" w:eastAsia="仿宋_GB2312"/>
          <w:b w:val="0"/>
          <w:bCs w:val="0"/>
          <w:color w:val="auto"/>
          <w:sz w:val="28"/>
          <w:szCs w:val="28"/>
          <w:lang w:val="en-US" w:eastAsia="zh-CN"/>
        </w:rPr>
        <w:t>参保大学生在校医院发生的普通门诊医疗费用按有关规定予以报销，报销比例为一档75%、二档80%。</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eastAsia" w:eastAsia="仿宋_GB2312"/>
          <w:b w:val="0"/>
          <w:bCs w:val="0"/>
          <w:color w:val="auto"/>
          <w:sz w:val="28"/>
          <w:szCs w:val="28"/>
          <w:lang w:val="en-US" w:eastAsia="zh-CN"/>
        </w:rPr>
      </w:pPr>
      <w:r>
        <w:rPr>
          <w:rFonts w:hint="eastAsia" w:eastAsia="仿宋_GB2312"/>
          <w:b w:val="0"/>
          <w:bCs w:val="0"/>
          <w:color w:val="auto"/>
          <w:sz w:val="28"/>
          <w:szCs w:val="28"/>
          <w:lang w:val="en-US" w:eastAsia="zh-CN"/>
        </w:rPr>
        <w:t>住院起付线及报销比例</w:t>
      </w:r>
    </w:p>
    <w:tbl>
      <w:tblPr>
        <w:tblStyle w:val="4"/>
        <w:tblW w:w="92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551"/>
        <w:gridCol w:w="1257"/>
        <w:gridCol w:w="1404"/>
        <w:gridCol w:w="1289"/>
        <w:gridCol w:w="2367"/>
        <w:gridCol w:w="1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90" w:hRule="atLeast"/>
          <w:jc w:val="center"/>
        </w:trPr>
        <w:tc>
          <w:tcPr>
            <w:tcW w:w="1551" w:type="dxa"/>
            <w:vMerge w:val="restart"/>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18"/>
                <w:szCs w:val="18"/>
                <w:u w:val="none"/>
              </w:rPr>
            </w:pPr>
            <w:r>
              <w:rPr>
                <w:rFonts w:hint="eastAsia" w:ascii="宋体" w:hAnsi="宋体" w:eastAsia="宋体" w:cs="宋体"/>
                <w:b/>
                <w:bCs/>
                <w:i w:val="0"/>
                <w:color w:val="000000"/>
                <w:kern w:val="0"/>
                <w:sz w:val="20"/>
                <w:szCs w:val="20"/>
                <w:u w:val="none"/>
                <w:lang w:val="en-US" w:eastAsia="zh-CN" w:bidi="ar"/>
              </w:rPr>
              <w:t>医疗机构级别</w:t>
            </w:r>
          </w:p>
        </w:tc>
        <w:tc>
          <w:tcPr>
            <w:tcW w:w="3950" w:type="dxa"/>
            <w:gridSpan w:val="3"/>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b/>
                <w:bCs/>
                <w:i w:val="0"/>
                <w:color w:val="000000"/>
                <w:sz w:val="20"/>
                <w:szCs w:val="20"/>
                <w:u w:val="none"/>
                <w:lang w:eastAsia="zh-CN"/>
              </w:rPr>
            </w:pPr>
            <w:r>
              <w:rPr>
                <w:rFonts w:hint="eastAsia" w:ascii="宋体" w:hAnsi="宋体" w:eastAsia="宋体" w:cs="宋体"/>
                <w:b/>
                <w:bCs/>
                <w:i w:val="0"/>
                <w:color w:val="000000"/>
                <w:sz w:val="20"/>
                <w:szCs w:val="20"/>
                <w:u w:val="none"/>
                <w:lang w:eastAsia="zh-CN"/>
              </w:rPr>
              <w:t>居民医保（大学生）</w:t>
            </w:r>
          </w:p>
        </w:tc>
        <w:tc>
          <w:tcPr>
            <w:tcW w:w="3734" w:type="dxa"/>
            <w:gridSpan w:val="2"/>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b/>
                <w:bCs/>
                <w:i w:val="0"/>
                <w:color w:val="000000"/>
                <w:sz w:val="20"/>
                <w:szCs w:val="20"/>
                <w:u w:val="none"/>
              </w:rPr>
            </w:pPr>
            <w:r>
              <w:rPr>
                <w:rFonts w:hint="eastAsia" w:ascii="宋体" w:hAnsi="宋体" w:eastAsia="宋体" w:cs="宋体"/>
                <w:b/>
                <w:bCs/>
                <w:i w:val="0"/>
                <w:color w:val="000000"/>
                <w:kern w:val="0"/>
                <w:sz w:val="20"/>
                <w:szCs w:val="20"/>
                <w:u w:val="none"/>
                <w:lang w:val="en-US" w:eastAsia="zh-CN" w:bidi="ar"/>
              </w:rPr>
              <w:t>大病保险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9" w:hRule="atLeast"/>
          <w:jc w:val="center"/>
        </w:trPr>
        <w:tc>
          <w:tcPr>
            <w:tcW w:w="1551"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0" w:lineRule="atLeast"/>
              <w:jc w:val="center"/>
              <w:outlineLvl w:val="9"/>
              <w:rPr>
                <w:rFonts w:hint="eastAsia" w:ascii="宋体" w:hAnsi="宋体" w:eastAsia="宋体" w:cs="宋体"/>
                <w:i w:val="0"/>
                <w:color w:val="000000"/>
                <w:sz w:val="18"/>
                <w:szCs w:val="18"/>
                <w:u w:val="none"/>
              </w:rPr>
            </w:pPr>
          </w:p>
        </w:tc>
        <w:tc>
          <w:tcPr>
            <w:tcW w:w="1257" w:type="dxa"/>
            <w:vMerge w:val="restart"/>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起付线</w:t>
            </w:r>
          </w:p>
        </w:tc>
        <w:tc>
          <w:tcPr>
            <w:tcW w:w="2693" w:type="dxa"/>
            <w:gridSpan w:val="2"/>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住院报销比例</w:t>
            </w:r>
          </w:p>
        </w:tc>
        <w:tc>
          <w:tcPr>
            <w:tcW w:w="2367" w:type="dxa"/>
            <w:vMerge w:val="restart"/>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起付线</w:t>
            </w:r>
          </w:p>
        </w:tc>
        <w:tc>
          <w:tcPr>
            <w:tcW w:w="1367" w:type="dxa"/>
            <w:vMerge w:val="restart"/>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住院报销比例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1551"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0" w:lineRule="atLeast"/>
              <w:jc w:val="center"/>
              <w:outlineLvl w:val="9"/>
              <w:rPr>
                <w:rFonts w:hint="eastAsia" w:ascii="宋体" w:hAnsi="宋体" w:eastAsia="宋体" w:cs="宋体"/>
                <w:i w:val="0"/>
                <w:color w:val="000000"/>
                <w:sz w:val="18"/>
                <w:szCs w:val="18"/>
                <w:u w:val="none"/>
              </w:rPr>
            </w:pPr>
          </w:p>
        </w:tc>
        <w:tc>
          <w:tcPr>
            <w:tcW w:w="1257"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0" w:lineRule="atLeast"/>
              <w:jc w:val="center"/>
              <w:outlineLvl w:val="9"/>
              <w:rPr>
                <w:rFonts w:hint="eastAsia" w:ascii="宋体" w:hAnsi="宋体" w:eastAsia="宋体" w:cs="宋体"/>
                <w:i w:val="0"/>
                <w:color w:val="000000"/>
                <w:sz w:val="18"/>
                <w:szCs w:val="18"/>
                <w:u w:val="none"/>
              </w:rPr>
            </w:pPr>
          </w:p>
        </w:tc>
        <w:tc>
          <w:tcPr>
            <w:tcW w:w="1404" w:type="dxa"/>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一档</w:t>
            </w:r>
          </w:p>
        </w:tc>
        <w:tc>
          <w:tcPr>
            <w:tcW w:w="1289" w:type="dxa"/>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二档</w:t>
            </w:r>
          </w:p>
        </w:tc>
        <w:tc>
          <w:tcPr>
            <w:tcW w:w="2367"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0" w:lineRule="atLeast"/>
              <w:jc w:val="center"/>
              <w:outlineLvl w:val="9"/>
              <w:rPr>
                <w:rFonts w:hint="eastAsia" w:ascii="宋体" w:hAnsi="宋体" w:eastAsia="宋体" w:cs="宋体"/>
                <w:i w:val="0"/>
                <w:color w:val="000000"/>
                <w:sz w:val="18"/>
                <w:szCs w:val="18"/>
                <w:u w:val="none"/>
              </w:rPr>
            </w:pPr>
          </w:p>
        </w:tc>
        <w:tc>
          <w:tcPr>
            <w:tcW w:w="1367"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0" w:lineRule="atLeast"/>
              <w:jc w:val="center"/>
              <w:outlineLvl w:val="9"/>
              <w:rPr>
                <w:rFonts w:hint="eastAsia" w:ascii="宋体" w:hAnsi="宋体" w:eastAsia="宋体" w:cs="宋体"/>
                <w:i w:val="0"/>
                <w:color w:val="000000"/>
                <w:sz w:val="18"/>
                <w:szCs w:val="18"/>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551" w:type="dxa"/>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一级</w:t>
            </w:r>
          </w:p>
        </w:tc>
        <w:tc>
          <w:tcPr>
            <w:tcW w:w="1257" w:type="dxa"/>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100元</w:t>
            </w:r>
          </w:p>
        </w:tc>
        <w:tc>
          <w:tcPr>
            <w:tcW w:w="1404" w:type="dxa"/>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80%</w:t>
            </w:r>
          </w:p>
        </w:tc>
        <w:tc>
          <w:tcPr>
            <w:tcW w:w="1289" w:type="dxa"/>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85%</w:t>
            </w:r>
          </w:p>
        </w:tc>
        <w:tc>
          <w:tcPr>
            <w:tcW w:w="2367" w:type="dxa"/>
            <w:vMerge w:val="restart"/>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both"/>
              <w:textAlignment w:val="center"/>
              <w:outlineLvl w:val="9"/>
              <w:rPr>
                <w:rFonts w:hint="eastAsia" w:ascii="宋体" w:hAnsi="宋体" w:eastAsia="宋体" w:cs="宋体"/>
                <w:i w:val="0"/>
                <w:color w:val="000000"/>
                <w:sz w:val="16"/>
                <w:szCs w:val="16"/>
                <w:u w:val="none"/>
              </w:rPr>
            </w:pPr>
            <w:r>
              <w:rPr>
                <w:rFonts w:hint="eastAsia" w:ascii="宋体" w:hAnsi="宋体" w:eastAsia="宋体" w:cs="宋体"/>
                <w:i w:val="0"/>
                <w:color w:val="000000"/>
                <w:kern w:val="0"/>
                <w:sz w:val="18"/>
                <w:szCs w:val="18"/>
                <w:u w:val="none"/>
                <w:lang w:val="en-US" w:eastAsia="zh-CN" w:bidi="ar"/>
              </w:rPr>
              <w:t>符合医保报销范围未报销部分，超过大病起付线以后按规定进行报销。2020年大病起付线为：14460元</w:t>
            </w:r>
          </w:p>
        </w:tc>
        <w:tc>
          <w:tcPr>
            <w:tcW w:w="1367" w:type="dxa"/>
            <w:vMerge w:val="restart"/>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551" w:type="dxa"/>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二级</w:t>
            </w:r>
          </w:p>
        </w:tc>
        <w:tc>
          <w:tcPr>
            <w:tcW w:w="1257" w:type="dxa"/>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300元</w:t>
            </w:r>
          </w:p>
        </w:tc>
        <w:tc>
          <w:tcPr>
            <w:tcW w:w="1404" w:type="dxa"/>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70%</w:t>
            </w:r>
          </w:p>
        </w:tc>
        <w:tc>
          <w:tcPr>
            <w:tcW w:w="1289" w:type="dxa"/>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75%</w:t>
            </w:r>
          </w:p>
        </w:tc>
        <w:tc>
          <w:tcPr>
            <w:tcW w:w="2367"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0" w:lineRule="atLeast"/>
              <w:jc w:val="both"/>
              <w:outlineLvl w:val="9"/>
              <w:rPr>
                <w:rFonts w:hint="eastAsia" w:ascii="宋体" w:hAnsi="宋体" w:eastAsia="宋体" w:cs="宋体"/>
                <w:i w:val="0"/>
                <w:color w:val="000000"/>
                <w:sz w:val="16"/>
                <w:szCs w:val="16"/>
                <w:u w:val="none"/>
              </w:rPr>
            </w:pPr>
          </w:p>
        </w:tc>
        <w:tc>
          <w:tcPr>
            <w:tcW w:w="1367"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0" w:lineRule="atLeast"/>
              <w:jc w:val="center"/>
              <w:outlineLvl w:val="9"/>
              <w:rPr>
                <w:rFonts w:hint="eastAsia" w:ascii="宋体" w:hAnsi="宋体" w:eastAsia="宋体" w:cs="宋体"/>
                <w:i w:val="0"/>
                <w:color w:val="000000"/>
                <w:sz w:val="18"/>
                <w:szCs w:val="18"/>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551" w:type="dxa"/>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三级</w:t>
            </w:r>
          </w:p>
        </w:tc>
        <w:tc>
          <w:tcPr>
            <w:tcW w:w="1257" w:type="dxa"/>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800元</w:t>
            </w:r>
          </w:p>
        </w:tc>
        <w:tc>
          <w:tcPr>
            <w:tcW w:w="1404" w:type="dxa"/>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60%</w:t>
            </w:r>
          </w:p>
        </w:tc>
        <w:tc>
          <w:tcPr>
            <w:tcW w:w="1289" w:type="dxa"/>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65%</w:t>
            </w:r>
          </w:p>
        </w:tc>
        <w:tc>
          <w:tcPr>
            <w:tcW w:w="2367"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0" w:lineRule="atLeast"/>
              <w:jc w:val="both"/>
              <w:outlineLvl w:val="9"/>
              <w:rPr>
                <w:rFonts w:hint="eastAsia" w:ascii="宋体" w:hAnsi="宋体" w:eastAsia="宋体" w:cs="宋体"/>
                <w:i w:val="0"/>
                <w:color w:val="000000"/>
                <w:sz w:val="16"/>
                <w:szCs w:val="16"/>
                <w:u w:val="none"/>
              </w:rPr>
            </w:pPr>
          </w:p>
        </w:tc>
        <w:tc>
          <w:tcPr>
            <w:tcW w:w="1367" w:type="dxa"/>
            <w:vMerge w:val="continue"/>
            <w:noWrap w:val="0"/>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0" w:lineRule="atLeast"/>
              <w:jc w:val="center"/>
              <w:outlineLvl w:val="9"/>
              <w:rPr>
                <w:rFonts w:hint="eastAsia" w:ascii="宋体" w:hAnsi="宋体" w:eastAsia="宋体" w:cs="宋体"/>
                <w:i w:val="0"/>
                <w:color w:val="000000"/>
                <w:sz w:val="18"/>
                <w:szCs w:val="18"/>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551" w:type="dxa"/>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封顶线</w:t>
            </w:r>
          </w:p>
        </w:tc>
        <w:tc>
          <w:tcPr>
            <w:tcW w:w="1257" w:type="dxa"/>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w:t>
            </w:r>
          </w:p>
        </w:tc>
        <w:tc>
          <w:tcPr>
            <w:tcW w:w="1404" w:type="dxa"/>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8</w:t>
            </w:r>
            <w:r>
              <w:rPr>
                <w:rStyle w:val="10"/>
                <w:rFonts w:hint="eastAsia" w:ascii="宋体" w:hAnsi="宋体" w:eastAsia="宋体" w:cs="宋体"/>
                <w:sz w:val="18"/>
                <w:szCs w:val="18"/>
                <w:lang w:val="en-US" w:eastAsia="zh-CN" w:bidi="ar"/>
              </w:rPr>
              <w:t>万元</w:t>
            </w:r>
          </w:p>
        </w:tc>
        <w:tc>
          <w:tcPr>
            <w:tcW w:w="1289" w:type="dxa"/>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12</w:t>
            </w:r>
            <w:r>
              <w:rPr>
                <w:rStyle w:val="10"/>
                <w:rFonts w:hint="eastAsia" w:ascii="宋体" w:hAnsi="宋体" w:eastAsia="宋体" w:cs="宋体"/>
                <w:sz w:val="18"/>
                <w:szCs w:val="18"/>
                <w:lang w:val="en-US" w:eastAsia="zh-CN" w:bidi="ar"/>
              </w:rPr>
              <w:t>万元</w:t>
            </w:r>
          </w:p>
        </w:tc>
        <w:tc>
          <w:tcPr>
            <w:tcW w:w="2367" w:type="dxa"/>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w:t>
            </w:r>
          </w:p>
        </w:tc>
        <w:tc>
          <w:tcPr>
            <w:tcW w:w="1367" w:type="dxa"/>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outlineLvl w:val="9"/>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20万元</w:t>
            </w:r>
          </w:p>
        </w:tc>
      </w:tr>
    </w:tbl>
    <w:p>
      <w:pPr>
        <w:keepNext w:val="0"/>
        <w:keepLines w:val="0"/>
        <w:pageBreakBefore w:val="0"/>
        <w:numPr>
          <w:ilvl w:val="0"/>
          <w:numId w:val="0"/>
        </w:numPr>
        <w:kinsoku/>
        <w:wordWrap/>
        <w:overflowPunct/>
        <w:topLinePunct w:val="0"/>
        <w:autoSpaceDE/>
        <w:autoSpaceDN/>
        <w:bidi w:val="0"/>
        <w:adjustRightInd/>
        <w:snapToGrid/>
        <w:spacing w:line="0" w:lineRule="atLeast"/>
        <w:outlineLvl w:val="9"/>
        <w:rPr>
          <w:rFonts w:hint="eastAsia" w:eastAsia="方正楷体_GBK"/>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562" w:firstLineChars="200"/>
        <w:textAlignment w:val="auto"/>
        <w:rPr>
          <w:rFonts w:hint="eastAsia" w:eastAsia="仿宋_GB2312"/>
          <w:b/>
          <w:bCs/>
          <w:sz w:val="28"/>
          <w:szCs w:val="28"/>
          <w:lang w:val="en-US" w:eastAsia="zh-CN"/>
        </w:rPr>
      </w:pPr>
      <w:r>
        <w:rPr>
          <w:rFonts w:hint="eastAsia" w:eastAsia="仿宋_GB2312"/>
          <w:b/>
          <w:bCs/>
          <w:sz w:val="28"/>
          <w:szCs w:val="28"/>
          <w:lang w:val="en-US" w:eastAsia="zh-CN"/>
        </w:rPr>
        <w:t>（三）特殊疾病</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eastAsia" w:eastAsia="仿宋_GB2312"/>
          <w:color w:val="auto"/>
          <w:sz w:val="28"/>
          <w:szCs w:val="28"/>
          <w:lang w:val="en-US" w:eastAsia="zh-CN"/>
        </w:rPr>
      </w:pPr>
      <w:r>
        <w:rPr>
          <w:rFonts w:hint="eastAsia" w:eastAsia="仿宋_GB2312"/>
          <w:color w:val="auto"/>
          <w:sz w:val="28"/>
          <w:szCs w:val="28"/>
          <w:lang w:val="en-US" w:eastAsia="zh-CN"/>
        </w:rPr>
        <w:t>重大疾病：1、血友病；2、再生障碍性贫血；3、恶性肿瘤的放疗（化）疗和晚期的镇痛治疗；4、肾功能衰竭的门诊透析治疗；5、肾脏、肝脏、心脏瓣膜、造血干细胞移植术后的抗排异治疗；6、严重多器官衰竭（心、肝、肺、脑、肾）；7、艾滋病机会性感染；8、唇腭裂；9、地中海贫血；10、儿童先天性心脏病；11、儿童白血病(限急性淋巴细胞白血病、急性早幼粒细胞白血病) ；12、苯丙酮尿症（含四氢生物蝶呤缺乏症）</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慢性疾病：1、高血压病（１级高血压中高危和很高危、２级高血压、３级高血压）；2、糖尿病１型、２型；3、冠心病；4、精神分裂症、心境障碍（抑郁躁狂症）、偏执性精神障碍；5、肝硬化（失代偿期）；6、系统性红斑狼疮；7、脑血管意外后遗症（脑梗死、脑出血、蛛网膜下腔出血后遗症）；8、结核病；9、风湿性心瓣膜病；10、类风湿性关节炎；11、慢性肺源性心脏病；12、慢性支气管炎伴阻塞性肺气肿；13、甲亢；14、慢性乙型肝炎病毒（HBV）感染。</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对特殊疾病中的重大疾病和白血病，其门诊医药费报销执行住院的报销比例和起付线。其起付线一学年计算1次（一年内到不同等级医疗机构就医的以最高等级计算），封顶线与住院合并计算，一档10万，二档12万；</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对特殊疾病中的慢性病门诊医药费不设报销起付线，报销比例与住院一致，学年内报销封顶线为2400元，同时患两种或两种以上慢性病的，每增加一种，年报销限额增加200元。</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562" w:firstLineChars="200"/>
        <w:textAlignment w:val="auto"/>
        <w:rPr>
          <w:rFonts w:hint="eastAsia" w:eastAsia="仿宋_GB2312"/>
          <w:b/>
          <w:bCs/>
          <w:sz w:val="28"/>
          <w:szCs w:val="28"/>
          <w:lang w:val="en-US" w:eastAsia="zh-CN"/>
        </w:rPr>
      </w:pPr>
      <w:r>
        <w:rPr>
          <w:rFonts w:hint="eastAsia" w:eastAsia="仿宋_GB2312"/>
          <w:b/>
          <w:bCs/>
          <w:sz w:val="28"/>
          <w:szCs w:val="28"/>
          <w:lang w:val="en-US" w:eastAsia="zh-CN"/>
        </w:rPr>
        <w:t>（四）意外伤害门诊</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eastAsia" w:eastAsia="仿宋_GB2312"/>
          <w:color w:val="auto"/>
          <w:sz w:val="28"/>
          <w:szCs w:val="28"/>
          <w:lang w:val="en-US" w:eastAsia="zh-CN"/>
        </w:rPr>
      </w:pPr>
      <w:r>
        <w:rPr>
          <w:rFonts w:hint="eastAsia" w:eastAsia="仿宋_GB2312"/>
          <w:color w:val="auto"/>
          <w:sz w:val="28"/>
          <w:szCs w:val="28"/>
          <w:lang w:val="en-US" w:eastAsia="zh-CN"/>
        </w:rPr>
        <w:t>大学生发生无第三方责任的骨折、关节脱位、呼吸道异物意外伤害情形，其门诊医疗费用医保基金按80%报销，封顶线为每人每年1000元。</w:t>
      </w:r>
    </w:p>
    <w:p>
      <w:pPr>
        <w:keepNext w:val="0"/>
        <w:keepLines w:val="0"/>
        <w:pageBreakBefore w:val="0"/>
        <w:widowControl w:val="0"/>
        <w:kinsoku/>
        <w:wordWrap/>
        <w:overflowPunct/>
        <w:topLinePunct w:val="0"/>
        <w:autoSpaceDE/>
        <w:autoSpaceDN/>
        <w:bidi w:val="0"/>
        <w:adjustRightInd/>
        <w:snapToGrid/>
        <w:spacing w:line="500" w:lineRule="exact"/>
        <w:ind w:firstLine="562" w:firstLineChars="200"/>
        <w:textAlignment w:val="auto"/>
        <w:rPr>
          <w:rFonts w:eastAsia="仿宋_GB2312"/>
          <w:b/>
          <w:color w:val="auto"/>
          <w:sz w:val="28"/>
          <w:szCs w:val="28"/>
        </w:rPr>
      </w:pPr>
      <w:r>
        <w:rPr>
          <w:rFonts w:hint="eastAsia" w:eastAsia="仿宋_GB2312"/>
          <w:b/>
          <w:color w:val="auto"/>
          <w:sz w:val="28"/>
          <w:szCs w:val="28"/>
          <w:lang w:val="en-US" w:eastAsia="zh-CN"/>
        </w:rPr>
        <w:t>六、工作要求</w:t>
      </w:r>
    </w:p>
    <w:p>
      <w:pPr>
        <w:keepNext w:val="0"/>
        <w:keepLines w:val="0"/>
        <w:pageBreakBefore w:val="0"/>
        <w:widowControl w:val="0"/>
        <w:numPr>
          <w:ilvl w:val="0"/>
          <w:numId w:val="3"/>
        </w:numPr>
        <w:kinsoku/>
        <w:wordWrap/>
        <w:overflowPunct/>
        <w:topLinePunct w:val="0"/>
        <w:autoSpaceDE/>
        <w:autoSpaceDN/>
        <w:bidi w:val="0"/>
        <w:adjustRightInd/>
        <w:snapToGrid/>
        <w:spacing w:line="500" w:lineRule="exact"/>
        <w:ind w:firstLine="562" w:firstLineChars="200"/>
        <w:textAlignment w:val="auto"/>
        <w:rPr>
          <w:rFonts w:hint="eastAsia" w:eastAsia="仿宋_GB2312"/>
          <w:b w:val="0"/>
          <w:bCs w:val="0"/>
          <w:color w:val="auto"/>
          <w:sz w:val="28"/>
          <w:szCs w:val="28"/>
          <w:lang w:val="en-US" w:eastAsia="zh-CN"/>
        </w:rPr>
      </w:pPr>
      <w:r>
        <w:rPr>
          <w:rFonts w:hint="eastAsia" w:eastAsia="仿宋_GB2312"/>
          <w:b/>
          <w:bCs/>
          <w:color w:val="auto"/>
          <w:sz w:val="28"/>
          <w:szCs w:val="28"/>
          <w:lang w:val="en-US" w:eastAsia="zh-CN"/>
        </w:rPr>
        <w:t>提高认识，高度重视。</w:t>
      </w:r>
      <w:r>
        <w:rPr>
          <w:rFonts w:hint="eastAsia" w:eastAsia="仿宋_GB2312"/>
          <w:b w:val="0"/>
          <w:bCs w:val="0"/>
          <w:color w:val="auto"/>
          <w:sz w:val="28"/>
          <w:szCs w:val="28"/>
          <w:lang w:val="en-US" w:eastAsia="zh-CN"/>
        </w:rPr>
        <w:t>大学生医保是国家针对大学生群体医疗保障专门做出的一项惠民性政策制度安排，尤其是大病重病诊疗，防止因病致贫、返贫方面发挥重要的救济作用。各二级学院要高度重视，各司其责，抓好各项工作的落实。</w:t>
      </w:r>
    </w:p>
    <w:p>
      <w:pPr>
        <w:keepNext w:val="0"/>
        <w:keepLines w:val="0"/>
        <w:pageBreakBefore w:val="0"/>
        <w:widowControl w:val="0"/>
        <w:numPr>
          <w:ilvl w:val="0"/>
          <w:numId w:val="3"/>
        </w:numPr>
        <w:kinsoku/>
        <w:wordWrap/>
        <w:overflowPunct/>
        <w:topLinePunct w:val="0"/>
        <w:autoSpaceDE/>
        <w:autoSpaceDN/>
        <w:bidi w:val="0"/>
        <w:adjustRightInd/>
        <w:snapToGrid/>
        <w:spacing w:line="500" w:lineRule="exact"/>
        <w:ind w:firstLine="562" w:firstLineChars="200"/>
        <w:textAlignment w:val="auto"/>
        <w:rPr>
          <w:rFonts w:hint="default" w:eastAsia="仿宋_GB2312"/>
          <w:b w:val="0"/>
          <w:bCs w:val="0"/>
          <w:color w:val="auto"/>
          <w:sz w:val="28"/>
          <w:szCs w:val="28"/>
          <w:lang w:val="en-US" w:eastAsia="zh-CN"/>
        </w:rPr>
      </w:pPr>
      <w:r>
        <w:rPr>
          <w:rFonts w:hint="eastAsia" w:eastAsia="仿宋_GB2312"/>
          <w:b/>
          <w:bCs/>
          <w:color w:val="auto"/>
          <w:sz w:val="28"/>
          <w:szCs w:val="28"/>
          <w:lang w:val="en-US" w:eastAsia="zh-CN"/>
        </w:rPr>
        <w:t>大力宣传，广泛动员。</w:t>
      </w:r>
      <w:r>
        <w:rPr>
          <w:rFonts w:hint="eastAsia" w:eastAsia="仿宋_GB2312"/>
          <w:b w:val="0"/>
          <w:bCs w:val="0"/>
          <w:color w:val="auto"/>
          <w:sz w:val="28"/>
          <w:szCs w:val="28"/>
          <w:lang w:val="en-US" w:eastAsia="zh-CN"/>
        </w:rPr>
        <w:t>大学生医保是城乡居民医保的一项重要组成部分，并且缴费待遇比普通居民医保更优惠。各二级学院要明确今年的参保标准，困难大学生范围界限，困难资助标准，并通过主题班会等形式广泛宣传，做到宣传覆盖无死角，广泛发动学生，尤其是困难学生要进行精准识别，且参保全覆盖。</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eastAsia" w:eastAsia="仿宋_GB2312"/>
          <w:color w:val="auto"/>
          <w:sz w:val="28"/>
          <w:szCs w:val="28"/>
        </w:rPr>
      </w:pPr>
      <w:r>
        <w:rPr>
          <w:rFonts w:hint="eastAsia" w:eastAsia="仿宋_GB2312"/>
          <w:color w:val="auto"/>
          <w:sz w:val="28"/>
          <w:szCs w:val="28"/>
        </w:rPr>
        <w:t>关于医保办理的</w:t>
      </w:r>
      <w:r>
        <w:rPr>
          <w:rFonts w:eastAsia="仿宋_GB2312"/>
          <w:color w:val="auto"/>
          <w:sz w:val="28"/>
          <w:szCs w:val="28"/>
        </w:rPr>
        <w:t>不明之处请咨询学生处</w:t>
      </w:r>
      <w:r>
        <w:rPr>
          <w:rFonts w:hint="eastAsia" w:eastAsia="仿宋_GB2312"/>
          <w:color w:val="auto"/>
          <w:sz w:val="28"/>
          <w:szCs w:val="28"/>
          <w:lang w:val="en-US" w:eastAsia="zh-CN"/>
        </w:rPr>
        <w:t>邓园奕</w:t>
      </w:r>
      <w:r>
        <w:rPr>
          <w:rFonts w:eastAsia="仿宋_GB2312"/>
          <w:color w:val="auto"/>
          <w:sz w:val="28"/>
          <w:szCs w:val="28"/>
        </w:rPr>
        <w:t>，电话8</w:t>
      </w:r>
      <w:r>
        <w:rPr>
          <w:rFonts w:hint="eastAsia" w:eastAsia="仿宋_GB2312"/>
          <w:color w:val="auto"/>
          <w:sz w:val="28"/>
          <w:szCs w:val="28"/>
        </w:rPr>
        <w:t>666</w:t>
      </w:r>
      <w:r>
        <w:rPr>
          <w:rFonts w:eastAsia="仿宋_GB2312"/>
          <w:color w:val="auto"/>
          <w:sz w:val="28"/>
          <w:szCs w:val="28"/>
        </w:rPr>
        <w:t>412</w:t>
      </w:r>
      <w:r>
        <w:rPr>
          <w:rFonts w:hint="eastAsia" w:eastAsia="仿宋_GB2312"/>
          <w:color w:val="auto"/>
          <w:sz w:val="28"/>
          <w:szCs w:val="28"/>
          <w:lang w:val="en-US" w:eastAsia="zh-CN"/>
        </w:rPr>
        <w:t>7</w:t>
      </w:r>
      <w:r>
        <w:rPr>
          <w:rFonts w:eastAsia="仿宋_GB2312"/>
          <w:color w:val="auto"/>
          <w:sz w:val="28"/>
          <w:szCs w:val="28"/>
        </w:rPr>
        <w:t>。</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eastAsia" w:eastAsia="仿宋_GB2312"/>
          <w:color w:val="auto"/>
          <w:sz w:val="28"/>
          <w:szCs w:val="28"/>
        </w:rPr>
      </w:pPr>
      <w:r>
        <w:rPr>
          <w:rFonts w:hint="eastAsia" w:eastAsia="仿宋_GB2312"/>
          <w:color w:val="auto"/>
          <w:sz w:val="28"/>
          <w:szCs w:val="28"/>
        </w:rPr>
        <w:t>关于医保报销的不明之处请咨询医务科许</w:t>
      </w:r>
      <w:r>
        <w:rPr>
          <w:rFonts w:hint="eastAsia" w:eastAsia="仿宋_GB2312"/>
          <w:color w:val="auto"/>
          <w:sz w:val="28"/>
          <w:szCs w:val="28"/>
          <w:lang w:val="en-US" w:eastAsia="zh-CN"/>
        </w:rPr>
        <w:t>清华</w:t>
      </w:r>
      <w:r>
        <w:rPr>
          <w:rFonts w:hint="eastAsia" w:eastAsia="仿宋_GB2312"/>
          <w:color w:val="auto"/>
          <w:sz w:val="28"/>
          <w:szCs w:val="28"/>
        </w:rPr>
        <w:t>，电话86968830</w:t>
      </w:r>
      <w:r>
        <w:rPr>
          <w:rFonts w:eastAsia="仿宋_GB2312"/>
          <w:color w:val="auto"/>
          <w:sz w:val="28"/>
          <w:szCs w:val="28"/>
        </w:rPr>
        <w:t>。</w:t>
      </w:r>
    </w:p>
    <w:p>
      <w:pPr>
        <w:spacing w:line="500" w:lineRule="exact"/>
        <w:rPr>
          <w:rFonts w:hint="eastAsia" w:eastAsia="仿宋_GB2312"/>
          <w:color w:val="0000FF"/>
          <w:sz w:val="28"/>
          <w:szCs w:val="28"/>
        </w:rPr>
      </w:pPr>
    </w:p>
    <w:p>
      <w:pPr>
        <w:spacing w:line="500" w:lineRule="exact"/>
        <w:ind w:firstLine="560" w:firstLineChars="200"/>
        <w:rPr>
          <w:rFonts w:hint="eastAsia" w:eastAsia="仿宋_GB2312"/>
          <w:color w:val="auto"/>
          <w:sz w:val="28"/>
          <w:szCs w:val="28"/>
        </w:rPr>
      </w:pPr>
      <w:r>
        <w:rPr>
          <w:rFonts w:hint="eastAsia" w:eastAsia="仿宋_GB2312"/>
          <w:color w:val="auto"/>
          <w:sz w:val="28"/>
          <w:szCs w:val="28"/>
        </w:rPr>
        <w:t>附件：</w:t>
      </w:r>
    </w:p>
    <w:p>
      <w:pPr>
        <w:spacing w:line="500" w:lineRule="exact"/>
        <w:ind w:firstLine="560" w:firstLineChars="200"/>
        <w:rPr>
          <w:rFonts w:hint="eastAsia" w:eastAsia="仿宋_GB2312"/>
          <w:color w:val="auto"/>
          <w:sz w:val="28"/>
          <w:szCs w:val="28"/>
        </w:rPr>
      </w:pPr>
      <w:r>
        <w:rPr>
          <w:rFonts w:hint="eastAsia" w:eastAsia="仿宋_GB2312"/>
          <w:color w:val="auto"/>
          <w:sz w:val="28"/>
          <w:szCs w:val="28"/>
          <w:lang w:val="en-US" w:eastAsia="zh-CN"/>
        </w:rPr>
        <w:t>1、</w:t>
      </w:r>
      <w:r>
        <w:rPr>
          <w:rFonts w:hint="eastAsia" w:eastAsia="仿宋_GB2312"/>
          <w:color w:val="auto"/>
          <w:sz w:val="28"/>
          <w:szCs w:val="28"/>
        </w:rPr>
        <w:t>20</w:t>
      </w:r>
      <w:r>
        <w:rPr>
          <w:rFonts w:hint="eastAsia" w:eastAsia="仿宋_GB2312"/>
          <w:color w:val="auto"/>
          <w:sz w:val="28"/>
          <w:szCs w:val="28"/>
          <w:lang w:val="en-US" w:eastAsia="zh-CN"/>
        </w:rPr>
        <w:t>21</w:t>
      </w:r>
      <w:r>
        <w:rPr>
          <w:rFonts w:hint="eastAsia" w:eastAsia="仿宋_GB2312"/>
          <w:color w:val="auto"/>
          <w:sz w:val="28"/>
          <w:szCs w:val="28"/>
        </w:rPr>
        <w:t>—202</w:t>
      </w:r>
      <w:r>
        <w:rPr>
          <w:rFonts w:hint="eastAsia" w:eastAsia="仿宋_GB2312"/>
          <w:color w:val="auto"/>
          <w:sz w:val="28"/>
          <w:szCs w:val="28"/>
          <w:lang w:val="en-US" w:eastAsia="zh-CN"/>
        </w:rPr>
        <w:t>2</w:t>
      </w:r>
      <w:r>
        <w:rPr>
          <w:rFonts w:hint="eastAsia" w:eastAsia="仿宋_GB2312"/>
          <w:color w:val="auto"/>
          <w:sz w:val="28"/>
          <w:szCs w:val="28"/>
        </w:rPr>
        <w:t>学年度大学生合作医疗保险班级医保信息确认单</w:t>
      </w:r>
    </w:p>
    <w:p>
      <w:pPr>
        <w:spacing w:line="500" w:lineRule="exact"/>
        <w:ind w:firstLine="560" w:firstLineChars="200"/>
        <w:rPr>
          <w:rFonts w:hint="eastAsia" w:eastAsia="仿宋_GB2312"/>
          <w:b w:val="0"/>
          <w:bCs w:val="0"/>
          <w:color w:val="auto"/>
          <w:sz w:val="28"/>
          <w:szCs w:val="28"/>
          <w:lang w:val="en-US" w:eastAsia="zh-CN"/>
        </w:rPr>
      </w:pPr>
      <w:r>
        <w:rPr>
          <w:rFonts w:hint="eastAsia" w:eastAsia="仿宋_GB2312"/>
          <w:color w:val="auto"/>
          <w:sz w:val="28"/>
          <w:szCs w:val="28"/>
          <w:lang w:val="en-US" w:eastAsia="zh-CN"/>
        </w:rPr>
        <w:t>2、</w:t>
      </w:r>
      <w:r>
        <w:rPr>
          <w:rFonts w:hint="eastAsia" w:eastAsia="仿宋_GB2312"/>
          <w:b w:val="0"/>
          <w:bCs w:val="0"/>
          <w:color w:val="auto"/>
          <w:sz w:val="28"/>
          <w:szCs w:val="28"/>
          <w:lang w:val="en-US" w:eastAsia="zh-CN"/>
        </w:rPr>
        <w:t>2021—2022学年度大学生合作医疗保险二级学院汇总表</w:t>
      </w:r>
    </w:p>
    <w:p>
      <w:pPr>
        <w:spacing w:line="500" w:lineRule="exact"/>
        <w:ind w:firstLine="6580" w:firstLineChars="2350"/>
        <w:rPr>
          <w:rFonts w:eastAsia="仿宋_GB2312"/>
          <w:sz w:val="28"/>
          <w:szCs w:val="28"/>
        </w:rPr>
      </w:pPr>
    </w:p>
    <w:p>
      <w:pPr>
        <w:spacing w:line="500" w:lineRule="exact"/>
        <w:ind w:firstLine="6580" w:firstLineChars="2350"/>
        <w:rPr>
          <w:rFonts w:eastAsia="仿宋_GB2312"/>
          <w:sz w:val="28"/>
          <w:szCs w:val="28"/>
        </w:rPr>
      </w:pPr>
    </w:p>
    <w:p>
      <w:pPr>
        <w:spacing w:line="500" w:lineRule="exact"/>
        <w:ind w:firstLine="6580" w:firstLineChars="2350"/>
        <w:rPr>
          <w:rFonts w:eastAsia="仿宋_GB2312"/>
          <w:sz w:val="28"/>
          <w:szCs w:val="28"/>
        </w:rPr>
      </w:pPr>
      <w:r>
        <w:rPr>
          <w:rFonts w:eastAsia="仿宋_GB2312"/>
          <w:sz w:val="28"/>
          <w:szCs w:val="28"/>
        </w:rPr>
        <w:t>学生处</w:t>
      </w:r>
    </w:p>
    <w:p>
      <w:pPr>
        <w:spacing w:line="500" w:lineRule="exact"/>
        <w:ind w:firstLine="6160" w:firstLineChars="2200"/>
        <w:rPr>
          <w:rFonts w:eastAsia="仿宋_GB2312"/>
          <w:sz w:val="28"/>
          <w:szCs w:val="28"/>
        </w:rPr>
      </w:pPr>
      <w:r>
        <w:rPr>
          <w:rFonts w:hint="eastAsia" w:eastAsia="仿宋_GB2312"/>
          <w:sz w:val="28"/>
          <w:szCs w:val="28"/>
        </w:rPr>
        <w:t>20</w:t>
      </w:r>
      <w:r>
        <w:rPr>
          <w:rFonts w:hint="eastAsia" w:eastAsia="仿宋_GB2312"/>
          <w:sz w:val="28"/>
          <w:szCs w:val="28"/>
          <w:lang w:val="en-US" w:eastAsia="zh-CN"/>
        </w:rPr>
        <w:t>21</w:t>
      </w:r>
      <w:r>
        <w:rPr>
          <w:rFonts w:hint="eastAsia" w:eastAsia="仿宋_GB2312"/>
          <w:sz w:val="28"/>
          <w:szCs w:val="28"/>
        </w:rPr>
        <w:t>年</w:t>
      </w:r>
      <w:r>
        <w:rPr>
          <w:rFonts w:hint="eastAsia" w:eastAsia="仿宋_GB2312"/>
          <w:sz w:val="28"/>
          <w:szCs w:val="28"/>
          <w:lang w:val="en-US" w:eastAsia="zh-CN"/>
        </w:rPr>
        <w:t>9</w:t>
      </w:r>
      <w:r>
        <w:rPr>
          <w:rFonts w:hint="eastAsia" w:eastAsia="仿宋_GB2312"/>
          <w:sz w:val="28"/>
          <w:szCs w:val="28"/>
        </w:rPr>
        <w:t>月</w:t>
      </w:r>
      <w:r>
        <w:rPr>
          <w:rFonts w:hint="eastAsia" w:eastAsia="仿宋_GB2312"/>
          <w:sz w:val="28"/>
          <w:szCs w:val="28"/>
          <w:lang w:val="en-US" w:eastAsia="zh-CN"/>
        </w:rPr>
        <w:t>22</w:t>
      </w:r>
      <w:bookmarkStart w:id="0" w:name="_GoBack"/>
      <w:bookmarkEnd w:id="0"/>
      <w:r>
        <w:rPr>
          <w:rFonts w:hint="eastAsia" w:eastAsia="仿宋_GB2312"/>
          <w:sz w:val="28"/>
          <w:szCs w:val="28"/>
        </w:rPr>
        <w:t>日</w:t>
      </w:r>
    </w:p>
    <w:p>
      <w:pPr>
        <w:rPr>
          <w:rFonts w:hint="eastAsia" w:ascii="仿宋" w:hAnsi="仿宋" w:eastAsia="仿宋" w:cs="仿宋"/>
          <w:sz w:val="24"/>
          <w:szCs w:val="32"/>
        </w:rPr>
      </w:pPr>
    </w:p>
    <w:sectPr>
      <w:footerReference r:id="rId3" w:type="default"/>
      <w:pgSz w:w="11906" w:h="16838"/>
      <w:pgMar w:top="1984" w:right="1446" w:bottom="1644" w:left="1446" w:header="708" w:footer="709" w:gutter="0"/>
      <w:cols w:space="0" w:num="1"/>
      <w:rtlGutter w:val="0"/>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5298128A-3ECC-4CAA-B2E6-2F14007E9F58}"/>
  </w:font>
  <w:font w:name="Arial">
    <w:panose1 w:val="020B0604020202020204"/>
    <w:charset w:val="01"/>
    <w:family w:val="swiss"/>
    <w:pitch w:val="default"/>
    <w:sig w:usb0="E0002EFF" w:usb1="C000785B" w:usb2="00000009" w:usb3="00000000" w:csb0="400001FF" w:csb1="FFFF0000"/>
    <w:embedRegular r:id="rId2" w:fontKey="{8B9937C6-D050-49DB-8CD8-0E417E9C86FB}"/>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E9C8D3C0-6F3F-49B4-9736-D8433D0ADB6D}"/>
  </w:font>
  <w:font w:name="Symbol">
    <w:panose1 w:val="05050102010706020507"/>
    <w:charset w:val="02"/>
    <w:family w:val="roman"/>
    <w:pitch w:val="default"/>
    <w:sig w:usb0="00000000" w:usb1="00000000" w:usb2="00000000" w:usb3="00000000" w:csb0="80000000" w:csb1="00000000"/>
    <w:embedRegular r:id="rId4" w:fontKey="{5BFC863E-3923-46AD-8E27-3698EAE93E33}"/>
  </w:font>
  <w:font w:name="Calibri">
    <w:panose1 w:val="020F0502020204030204"/>
    <w:charset w:val="00"/>
    <w:family w:val="swiss"/>
    <w:pitch w:val="default"/>
    <w:sig w:usb0="E4002EFF" w:usb1="C000247B" w:usb2="00000009" w:usb3="00000000" w:csb0="200001FF" w:csb1="00000000"/>
    <w:embedRegular r:id="rId5" w:fontKey="{A2F9C2DB-DB07-48DB-B712-845E04837C4E}"/>
  </w:font>
  <w:font w:name="方正小标宋_GBK">
    <w:panose1 w:val="03000509000000000000"/>
    <w:charset w:val="86"/>
    <w:family w:val="auto"/>
    <w:pitch w:val="default"/>
    <w:sig w:usb0="00000001" w:usb1="080E0000" w:usb2="00000000" w:usb3="00000000" w:csb0="00040000" w:csb1="00000000"/>
    <w:embedRegular r:id="rId6" w:fontKey="{305FB588-11CC-4D7F-8E00-70A970715FB3}"/>
  </w:font>
  <w:font w:name="方正仿宋_GBK">
    <w:panose1 w:val="03000509000000000000"/>
    <w:charset w:val="86"/>
    <w:family w:val="script"/>
    <w:pitch w:val="default"/>
    <w:sig w:usb0="00000001" w:usb1="080E0000" w:usb2="00000000" w:usb3="00000000" w:csb0="00040000" w:csb1="00000000"/>
    <w:embedRegular r:id="rId7" w:fontKey="{A635D59C-231E-42A1-A0E1-5CC7BB8C9F50}"/>
  </w:font>
  <w:font w:name="仿宋">
    <w:panose1 w:val="02010609060101010101"/>
    <w:charset w:val="86"/>
    <w:family w:val="auto"/>
    <w:pitch w:val="default"/>
    <w:sig w:usb0="800002BF" w:usb1="38CF7CFA" w:usb2="00000016" w:usb3="00000000" w:csb0="00040001" w:csb1="00000000"/>
    <w:embedRegular r:id="rId8" w:fontKey="{E6D13236-D8CE-48B5-B6E2-FB306D31B60A}"/>
  </w:font>
  <w:font w:name="仿宋_GB2312">
    <w:altName w:val="仿宋"/>
    <w:panose1 w:val="00000000000000000000"/>
    <w:charset w:val="86"/>
    <w:family w:val="modern"/>
    <w:pitch w:val="default"/>
    <w:sig w:usb0="00000000" w:usb1="00000000" w:usb2="00000010" w:usb3="00000000" w:csb0="00040000" w:csb1="00000000"/>
    <w:embedRegular r:id="rId9" w:fontKey="{97CE682F-EBEB-4E38-AC37-F1D148FBA405}"/>
  </w:font>
  <w:font w:name="方正楷体_GBK">
    <w:panose1 w:val="03000509000000000000"/>
    <w:charset w:val="86"/>
    <w:family w:val="script"/>
    <w:pitch w:val="default"/>
    <w:sig w:usb0="00000001" w:usb1="080E0000" w:usb2="00000000" w:usb3="00000000" w:csb0="00040000" w:csb1="00000000"/>
    <w:embedRegular r:id="rId10" w:fontKey="{83049475-7930-494B-9E69-56272724FEFE}"/>
  </w:font>
  <w:font w:name="仿宋_GB2312">
    <w:altName w:val="仿宋"/>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ind w:right="420"/>
      <w:jc w:val="right"/>
      <w:rPr>
        <w:rFonts w:ascii="宋体" w:hAnsi="宋体"/>
        <w:sz w:val="28"/>
        <w:szCs w:val="28"/>
      </w:rPr>
    </w:pPr>
    <w:r>
      <w:rPr>
        <w:rFonts w:hint="eastAsia" w:ascii="宋体" w:hAnsi="宋体"/>
        <w:sz w:val="28"/>
        <w:szCs w:val="28"/>
      </w:rPr>
      <w:t>—</w:t>
    </w:r>
    <w:r>
      <w:rPr>
        <w:rFonts w:ascii="宋体" w:hAnsi="宋体"/>
        <w:sz w:val="28"/>
        <w:szCs w:val="28"/>
      </w:rPr>
      <w:fldChar w:fldCharType="begin"/>
    </w:r>
    <w:r>
      <w:rPr>
        <w:rFonts w:ascii="宋体" w:hAnsi="宋体"/>
        <w:sz w:val="28"/>
        <w:szCs w:val="28"/>
      </w:rPr>
      <w:instrText xml:space="preserve"> PAGE   \* MERGEFORMAT </w:instrText>
    </w:r>
    <w:r>
      <w:rPr>
        <w:rFonts w:ascii="宋体" w:hAnsi="宋体"/>
        <w:sz w:val="28"/>
        <w:szCs w:val="28"/>
      </w:rPr>
      <w:fldChar w:fldCharType="separate"/>
    </w:r>
    <w:r>
      <w:rPr>
        <w:rFonts w:ascii="宋体" w:hAnsi="宋体"/>
        <w:sz w:val="28"/>
        <w:szCs w:val="28"/>
        <w:lang w:val="zh-CN"/>
      </w:rPr>
      <w:t>2</w:t>
    </w:r>
    <w:r>
      <w:rPr>
        <w:rFonts w:ascii="宋体" w:hAnsi="宋体"/>
        <w:sz w:val="28"/>
        <w:szCs w:val="28"/>
      </w:rPr>
      <w:fldChar w:fldCharType="end"/>
    </w:r>
    <w:r>
      <w:rPr>
        <w:rFonts w:hint="eastAsia" w:ascii="宋体" w:hAnsi="宋体"/>
        <w:sz w:val="28"/>
        <w:szCs w:val="28"/>
      </w:rPr>
      <w:t>—</w:t>
    </w:r>
  </w:p>
  <w:p>
    <w:pPr>
      <w:pStyle w:val="2"/>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882B36"/>
    <w:multiLevelType w:val="singleLevel"/>
    <w:tmpl w:val="81882B36"/>
    <w:lvl w:ilvl="0" w:tentative="0">
      <w:start w:val="2"/>
      <w:numFmt w:val="chineseCounting"/>
      <w:suff w:val="nothing"/>
      <w:lvlText w:val="%1、"/>
      <w:lvlJc w:val="left"/>
      <w:rPr>
        <w:rFonts w:hint="eastAsia"/>
      </w:rPr>
    </w:lvl>
  </w:abstractNum>
  <w:abstractNum w:abstractNumId="1">
    <w:nsid w:val="DC903DDC"/>
    <w:multiLevelType w:val="singleLevel"/>
    <w:tmpl w:val="DC903DDC"/>
    <w:lvl w:ilvl="0" w:tentative="0">
      <w:start w:val="1"/>
      <w:numFmt w:val="chineseCounting"/>
      <w:suff w:val="nothing"/>
      <w:lvlText w:val="（%1）"/>
      <w:lvlJc w:val="left"/>
      <w:rPr>
        <w:rFonts w:hint="eastAsia"/>
      </w:rPr>
    </w:lvl>
  </w:abstractNum>
  <w:abstractNum w:abstractNumId="2">
    <w:nsid w:val="302D298C"/>
    <w:multiLevelType w:val="singleLevel"/>
    <w:tmpl w:val="302D298C"/>
    <w:lvl w:ilvl="0" w:tentative="0">
      <w:start w:val="1"/>
      <w:numFmt w:val="decimal"/>
      <w:suff w:val="nothing"/>
      <w:lvlText w:val="%1、"/>
      <w:lvlJc w:val="left"/>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8C7301A"/>
    <w:rsid w:val="02F20317"/>
    <w:rsid w:val="05E01F06"/>
    <w:rsid w:val="079A07EC"/>
    <w:rsid w:val="0A0A5FC8"/>
    <w:rsid w:val="15862650"/>
    <w:rsid w:val="19A921A4"/>
    <w:rsid w:val="1A5A50D2"/>
    <w:rsid w:val="1E48783F"/>
    <w:rsid w:val="21F804D4"/>
    <w:rsid w:val="24E012E8"/>
    <w:rsid w:val="267444E4"/>
    <w:rsid w:val="26A4538E"/>
    <w:rsid w:val="2799505F"/>
    <w:rsid w:val="288E728C"/>
    <w:rsid w:val="2891778A"/>
    <w:rsid w:val="2A2011AC"/>
    <w:rsid w:val="2AEE61BC"/>
    <w:rsid w:val="2CD83167"/>
    <w:rsid w:val="2D120400"/>
    <w:rsid w:val="2F1D143F"/>
    <w:rsid w:val="34012604"/>
    <w:rsid w:val="372066D2"/>
    <w:rsid w:val="391E37CB"/>
    <w:rsid w:val="3B91235A"/>
    <w:rsid w:val="3D384138"/>
    <w:rsid w:val="3E884482"/>
    <w:rsid w:val="3F0A0D85"/>
    <w:rsid w:val="4019466A"/>
    <w:rsid w:val="42EF1607"/>
    <w:rsid w:val="436415A8"/>
    <w:rsid w:val="44190C60"/>
    <w:rsid w:val="441C7493"/>
    <w:rsid w:val="4A2B3ABF"/>
    <w:rsid w:val="4B3611DF"/>
    <w:rsid w:val="4BFE61AA"/>
    <w:rsid w:val="4C7C769A"/>
    <w:rsid w:val="4FC52FC2"/>
    <w:rsid w:val="51E01328"/>
    <w:rsid w:val="58C7301A"/>
    <w:rsid w:val="5C886E33"/>
    <w:rsid w:val="5CF802C2"/>
    <w:rsid w:val="64E6650D"/>
    <w:rsid w:val="687B347A"/>
    <w:rsid w:val="68FA54E7"/>
    <w:rsid w:val="6D535020"/>
    <w:rsid w:val="6F2A02BF"/>
    <w:rsid w:val="74816802"/>
    <w:rsid w:val="7A581B79"/>
    <w:rsid w:val="7AC05356"/>
    <w:rsid w:val="7F0F4D88"/>
    <w:rsid w:val="7FBE21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szCs w:val="18"/>
    </w:rPr>
  </w:style>
  <w:style w:type="paragraph" w:styleId="3">
    <w:name w:val="Normal (Web)"/>
    <w:basedOn w:val="1"/>
    <w:qFormat/>
    <w:uiPriority w:val="0"/>
    <w:pPr>
      <w:spacing w:before="0" w:beforeAutospacing="1" w:after="0" w:afterAutospacing="1"/>
      <w:ind w:left="0" w:right="0"/>
      <w:jc w:val="left"/>
    </w:pPr>
    <w:rPr>
      <w:kern w:val="0"/>
      <w:sz w:val="24"/>
      <w:lang w:val="en-US" w:eastAsia="zh-CN" w:bidi="ar"/>
    </w:rPr>
  </w:style>
  <w:style w:type="character" w:styleId="6">
    <w:name w:val="Strong"/>
    <w:basedOn w:val="5"/>
    <w:qFormat/>
    <w:uiPriority w:val="0"/>
    <w:rPr>
      <w:b/>
    </w:rPr>
  </w:style>
  <w:style w:type="character" w:styleId="7">
    <w:name w:val="page number"/>
    <w:basedOn w:val="5"/>
    <w:qFormat/>
    <w:uiPriority w:val="0"/>
  </w:style>
  <w:style w:type="character" w:styleId="8">
    <w:name w:val="Hyperlink"/>
    <w:qFormat/>
    <w:uiPriority w:val="0"/>
    <w:rPr>
      <w:color w:val="0000FF"/>
      <w:u w:val="single"/>
    </w:rPr>
  </w:style>
  <w:style w:type="paragraph" w:customStyle="1" w:styleId="9">
    <w:name w:val="List Paragraph"/>
    <w:basedOn w:val="1"/>
    <w:qFormat/>
    <w:uiPriority w:val="34"/>
    <w:pPr>
      <w:ind w:firstLine="420" w:firstLineChars="200"/>
    </w:pPr>
  </w:style>
  <w:style w:type="character" w:customStyle="1" w:styleId="10">
    <w:name w:val="font11"/>
    <w:basedOn w:val="5"/>
    <w:qFormat/>
    <w:uiPriority w:val="0"/>
    <w:rPr>
      <w:rFonts w:hint="eastAsia" w:ascii="宋体" w:hAnsi="宋体" w:eastAsia="宋体" w:cs="宋体"/>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bmp"/><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yy\AppData\Roaming\Kingsoft\wps\addons\pool\win-i386\knewfileruby_1.0.0.12\template\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0.docx</Template>
  <Pages>1</Pages>
  <Words>0</Words>
  <Characters>0</Characters>
  <Lines>0</Lines>
  <Paragraphs>0</Paragraphs>
  <TotalTime>13</TotalTime>
  <ScaleCrop>false</ScaleCrop>
  <LinksUpToDate>false</LinksUpToDate>
  <CharactersWithSpaces>0</CharactersWithSpaces>
  <Application>WPS Office_11.1.0.10700_F1E327BC-269C-435d-A152-05C5408002CA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2018-09-17T02:19:00Z</dcterms:created>
  <dc:creator>dyy</dc:creator>
  <cp:lastModifiedBy>依诺礼</cp:lastModifiedBy>
  <cp:lastPrinted>2019-06-18T06:42:00Z</cp:lastPrinted>
  <dcterms:modified xsi:type="dcterms:W3CDTF">2021-09-22T01:34:25Z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2052-11.1.0.10700</vt:lpwstr>
  </property>
  <property fmtid="{D5CDD505-2E9C-101B-9397-08002B2CF9AE}" pid="3" name="KSOSaveFontToCloudKey">
    <vt:lpwstr>403482669_embed</vt:lpwstr>
  </property>
  <property fmtid="{D5CDD505-2E9C-101B-9397-08002B2CF9AE}" pid="4" name="ICV">
    <vt:lpwstr>0AF67F171DDF44C1ABB889DD8C256078</vt:lpwstr>
  </property>
</Properties>
</file>