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jc w:val="left"/>
        <w:rPr>
          <w:rFonts w:eastAsia="仿宋_GB2312"/>
          <w:color w:val="auto"/>
        </w:rPr>
      </w:pPr>
    </w:p>
    <w:p>
      <w:pPr>
        <w:pStyle w:val="6"/>
        <w:shd w:val="clear" w:color="auto" w:fill="FFFFFF"/>
        <w:jc w:val="right"/>
        <w:rPr>
          <w:rFonts w:ascii="Times New Roman" w:hAnsi="Times New Roman" w:eastAsia="仿宋_GB2312"/>
          <w:color w:val="auto"/>
          <w:kern w:val="0"/>
          <w:sz w:val="20"/>
          <w:szCs w:val="20"/>
        </w:rPr>
      </w:pPr>
      <w:bookmarkStart w:id="8" w:name="_GoBack"/>
      <w:bookmarkEnd w:id="8"/>
      <w:r>
        <w:rPr>
          <w:rFonts w:ascii="Times New Roman" w:hAnsi="Times New Roman" w:eastAsia="仿宋_GB2312"/>
          <w:color w:val="auto"/>
          <w:kern w:val="0"/>
          <w:sz w:val="24"/>
        </w:rPr>
        <w:t xml:space="preserve">              </w:t>
      </w:r>
      <w:r>
        <w:rPr>
          <w:rFonts w:hint="eastAsia" w:ascii="Times New Roman" w:hAnsi="Times New Roman" w:eastAsia="仿宋_GB2312"/>
          <w:color w:val="auto"/>
          <w:kern w:val="0"/>
          <w:sz w:val="24"/>
        </w:rPr>
        <w:t xml:space="preserve">                                                           </w:t>
      </w:r>
    </w:p>
    <w:p>
      <w:pPr>
        <w:widowControl/>
        <w:jc w:val="center"/>
        <w:rPr>
          <w:rFonts w:eastAsia="方正小标宋_GBK"/>
          <w:bCs/>
          <w:color w:val="auto"/>
          <w:kern w:val="0"/>
          <w:sz w:val="36"/>
          <w:szCs w:val="36"/>
        </w:rPr>
      </w:pPr>
    </w:p>
    <w:p>
      <w:pPr>
        <w:widowControl/>
        <w:jc w:val="center"/>
        <w:rPr>
          <w:rFonts w:eastAsia="方正小标宋_GBK"/>
          <w:bCs/>
          <w:color w:val="auto"/>
          <w:kern w:val="0"/>
          <w:sz w:val="36"/>
          <w:szCs w:val="36"/>
        </w:rPr>
      </w:pPr>
      <w:r>
        <w:rPr>
          <w:rFonts w:eastAsia="方正小标宋_GBK"/>
          <w:bCs/>
          <w:color w:val="auto"/>
          <w:kern w:val="0"/>
          <w:sz w:val="36"/>
          <w:szCs w:val="36"/>
        </w:rPr>
        <w:t>采购清单及预算（服务类）</w:t>
      </w:r>
    </w:p>
    <w:tbl>
      <w:tblPr>
        <w:tblStyle w:val="10"/>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6692"/>
        <w:gridCol w:w="1408"/>
        <w:gridCol w:w="106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序号</w:t>
            </w:r>
          </w:p>
        </w:tc>
        <w:tc>
          <w:tcPr>
            <w:tcW w:w="1969" w:type="dxa"/>
            <w:vAlign w:val="center"/>
          </w:tcPr>
          <w:p>
            <w:pPr>
              <w:widowControl/>
              <w:jc w:val="center"/>
              <w:rPr>
                <w:rFonts w:eastAsia="黑体"/>
                <w:color w:val="auto"/>
                <w:kern w:val="0"/>
                <w:sz w:val="24"/>
              </w:rPr>
            </w:pPr>
            <w:r>
              <w:rPr>
                <w:rFonts w:eastAsia="黑体"/>
                <w:color w:val="auto"/>
                <w:kern w:val="0"/>
                <w:sz w:val="24"/>
              </w:rPr>
              <w:t>服务名目</w:t>
            </w:r>
          </w:p>
        </w:tc>
        <w:tc>
          <w:tcPr>
            <w:tcW w:w="6692" w:type="dxa"/>
            <w:vAlign w:val="center"/>
          </w:tcPr>
          <w:p>
            <w:pPr>
              <w:widowControl/>
              <w:jc w:val="center"/>
              <w:rPr>
                <w:rFonts w:eastAsia="黑体"/>
                <w:color w:val="auto"/>
                <w:kern w:val="0"/>
                <w:sz w:val="24"/>
              </w:rPr>
            </w:pPr>
            <w:r>
              <w:rPr>
                <w:rFonts w:eastAsia="黑体"/>
                <w:color w:val="auto"/>
                <w:kern w:val="0"/>
                <w:sz w:val="24"/>
              </w:rPr>
              <w:t>服务内容</w:t>
            </w:r>
            <w:r>
              <w:rPr>
                <w:rFonts w:hint="eastAsia" w:eastAsia="黑体"/>
                <w:color w:val="auto"/>
                <w:kern w:val="0"/>
                <w:sz w:val="24"/>
              </w:rPr>
              <w:t>和标准</w:t>
            </w:r>
          </w:p>
        </w:tc>
        <w:tc>
          <w:tcPr>
            <w:tcW w:w="1408" w:type="dxa"/>
            <w:vAlign w:val="center"/>
          </w:tcPr>
          <w:p>
            <w:pPr>
              <w:widowControl/>
              <w:jc w:val="center"/>
              <w:rPr>
                <w:rFonts w:eastAsia="黑体"/>
                <w:color w:val="auto"/>
                <w:kern w:val="0"/>
                <w:sz w:val="24"/>
              </w:rPr>
            </w:pPr>
            <w:r>
              <w:rPr>
                <w:rFonts w:eastAsia="黑体"/>
                <w:color w:val="auto"/>
                <w:kern w:val="0"/>
                <w:sz w:val="24"/>
              </w:rPr>
              <w:t>数量</w:t>
            </w:r>
            <w:r>
              <w:rPr>
                <w:rFonts w:hint="eastAsia" w:eastAsia="黑体"/>
                <w:color w:val="auto"/>
                <w:kern w:val="0"/>
                <w:sz w:val="24"/>
              </w:rPr>
              <w:t>/单位</w:t>
            </w:r>
          </w:p>
        </w:tc>
        <w:tc>
          <w:tcPr>
            <w:tcW w:w="1063" w:type="dxa"/>
            <w:vAlign w:val="center"/>
          </w:tcPr>
          <w:p>
            <w:pPr>
              <w:widowControl/>
              <w:jc w:val="center"/>
              <w:rPr>
                <w:rFonts w:eastAsia="黑体"/>
                <w:color w:val="auto"/>
                <w:kern w:val="0"/>
                <w:sz w:val="24"/>
              </w:rPr>
            </w:pPr>
            <w:r>
              <w:rPr>
                <w:rFonts w:eastAsia="黑体"/>
                <w:color w:val="auto"/>
                <w:kern w:val="0"/>
                <w:sz w:val="24"/>
              </w:rPr>
              <w:t>单价</w:t>
            </w:r>
          </w:p>
        </w:tc>
        <w:tc>
          <w:tcPr>
            <w:tcW w:w="1619" w:type="dxa"/>
            <w:vAlign w:val="center"/>
          </w:tcPr>
          <w:p>
            <w:pPr>
              <w:widowControl/>
              <w:jc w:val="center"/>
              <w:rPr>
                <w:rFonts w:eastAsia="黑体"/>
                <w:color w:val="auto"/>
                <w:kern w:val="0"/>
                <w:sz w:val="24"/>
              </w:rPr>
            </w:pPr>
            <w:r>
              <w:rPr>
                <w:rFonts w:hint="eastAsia" w:eastAsia="黑体"/>
                <w:color w:val="auto"/>
                <w:kern w:val="0"/>
                <w:sz w:val="24"/>
              </w:rPr>
              <w:t>合计</w:t>
            </w:r>
            <w:r>
              <w:rPr>
                <w:rFonts w:eastAsia="黑体"/>
                <w:color w:val="auto"/>
                <w:kern w:val="0"/>
                <w:sz w:val="24"/>
              </w:rPr>
              <w:t>金额</w:t>
            </w:r>
            <w:r>
              <w:rPr>
                <w:rFonts w:hint="eastAsia" w:eastAsia="黑体"/>
                <w:color w:val="auto"/>
                <w:kern w:val="0"/>
                <w:sz w:val="24"/>
              </w:rPr>
              <w:t>（</w:t>
            </w:r>
            <w:r>
              <w:rPr>
                <w:rFonts w:eastAsia="黑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1</w:t>
            </w:r>
          </w:p>
        </w:tc>
        <w:tc>
          <w:tcPr>
            <w:tcW w:w="1969" w:type="dxa"/>
            <w:vAlign w:val="center"/>
          </w:tcPr>
          <w:p>
            <w:pPr>
              <w:widowControl/>
              <w:jc w:val="center"/>
              <w:rPr>
                <w:rFonts w:eastAsia="黑体"/>
                <w:color w:val="auto"/>
                <w:kern w:val="0"/>
                <w:sz w:val="24"/>
              </w:rPr>
            </w:pPr>
            <w:r>
              <w:rPr>
                <w:rFonts w:hint="eastAsia" w:eastAsia="黑体"/>
                <w:color w:val="auto"/>
                <w:kern w:val="0"/>
                <w:sz w:val="24"/>
                <w:lang w:val="en-US" w:eastAsia="zh-CN"/>
              </w:rPr>
              <w:t>思政创新发展中心宣传片拍摄服务</w:t>
            </w:r>
            <w:r>
              <w:rPr>
                <w:rFonts w:eastAsia="黑体"/>
                <w:color w:val="auto"/>
                <w:kern w:val="0"/>
                <w:sz w:val="24"/>
              </w:rPr>
              <w:t>　</w:t>
            </w:r>
          </w:p>
        </w:tc>
        <w:tc>
          <w:tcPr>
            <w:tcW w:w="6692" w:type="dxa"/>
            <w:vAlign w:val="center"/>
          </w:tcPr>
          <w:p>
            <w:pPr>
              <w:keepNext w:val="0"/>
              <w:keepLines w:val="0"/>
              <w:pageBreakBefore w:val="0"/>
              <w:widowControl/>
              <w:numPr>
                <w:ilvl w:val="0"/>
                <w:numId w:val="1"/>
              </w:numPr>
              <w:kinsoku/>
              <w:wordWrap/>
              <w:overflowPunct/>
              <w:topLinePunct w:val="0"/>
              <w:autoSpaceDE/>
              <w:autoSpaceDN/>
              <w:bidi w:val="0"/>
              <w:adjustRightInd/>
              <w:spacing w:line="240" w:lineRule="auto"/>
              <w:ind w:firstLine="420" w:firstLineChars="200"/>
              <w:textAlignment w:val="auto"/>
              <w:rPr>
                <w:rFonts w:hint="default"/>
                <w:b w:val="0"/>
                <w:bCs w:val="0"/>
                <w:color w:val="auto"/>
                <w:sz w:val="21"/>
                <w:szCs w:val="21"/>
                <w:lang w:val="en-US" w:eastAsia="zh-CN"/>
              </w:rPr>
            </w:pPr>
            <w:r>
              <w:rPr>
                <w:rFonts w:hint="eastAsia" w:ascii="宋体" w:hAnsi="宋体" w:cs="宋体"/>
                <w:b w:val="0"/>
                <w:bCs w:val="0"/>
                <w:color w:val="auto"/>
                <w:sz w:val="21"/>
                <w:szCs w:val="21"/>
              </w:rPr>
              <w:t>完成片长</w:t>
            </w:r>
            <w:r>
              <w:rPr>
                <w:rFonts w:hint="eastAsia" w:ascii="宋体" w:hAnsi="宋体" w:cs="宋体"/>
                <w:b w:val="0"/>
                <w:bCs w:val="0"/>
                <w:color w:val="auto"/>
                <w:sz w:val="21"/>
                <w:szCs w:val="21"/>
                <w:lang w:val="en-US" w:eastAsia="zh-CN"/>
              </w:rPr>
              <w:t>3-5</w:t>
            </w:r>
            <w:r>
              <w:rPr>
                <w:rFonts w:hint="eastAsia" w:ascii="宋体" w:hAnsi="宋体" w:cs="宋体"/>
                <w:b w:val="0"/>
                <w:bCs w:val="0"/>
                <w:color w:val="auto"/>
                <w:sz w:val="21"/>
                <w:szCs w:val="21"/>
              </w:rPr>
              <w:t>分钟左右的</w:t>
            </w:r>
            <w:r>
              <w:rPr>
                <w:rFonts w:hint="eastAsia" w:ascii="宋体" w:hAnsi="宋体" w:cs="宋体"/>
                <w:b w:val="0"/>
                <w:bCs w:val="0"/>
                <w:color w:val="auto"/>
                <w:sz w:val="21"/>
                <w:szCs w:val="21"/>
                <w:lang w:eastAsia="zh-Hans"/>
              </w:rPr>
              <w:t>学校</w:t>
            </w:r>
            <w:r>
              <w:rPr>
                <w:rFonts w:hint="eastAsia" w:ascii="宋体" w:hAnsi="宋体" w:cs="宋体"/>
                <w:b w:val="0"/>
                <w:bCs w:val="0"/>
                <w:color w:val="auto"/>
                <w:sz w:val="21"/>
                <w:szCs w:val="21"/>
                <w:lang w:val="en-US" w:eastAsia="zh-CN"/>
              </w:rPr>
              <w:t>思政创新发展中心</w:t>
            </w:r>
            <w:r>
              <w:rPr>
                <w:rFonts w:hint="eastAsia" w:ascii="宋体" w:hAnsi="宋体" w:cs="宋体"/>
                <w:b w:val="0"/>
                <w:bCs w:val="0"/>
                <w:color w:val="auto"/>
                <w:sz w:val="21"/>
                <w:szCs w:val="21"/>
              </w:rPr>
              <w:t>宣传片一部</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全方位体现学校</w:t>
            </w:r>
            <w:r>
              <w:rPr>
                <w:rFonts w:hint="eastAsia" w:ascii="宋体" w:hAnsi="宋体" w:cs="宋体"/>
                <w:b w:val="0"/>
                <w:bCs w:val="0"/>
                <w:color w:val="auto"/>
                <w:sz w:val="21"/>
                <w:szCs w:val="21"/>
                <w:lang w:val="en-US" w:eastAsia="zh-CN"/>
              </w:rPr>
              <w:t>党建思政建设成果</w:t>
            </w:r>
            <w:r>
              <w:rPr>
                <w:rFonts w:hint="eastAsia" w:ascii="宋体" w:hAnsi="宋体" w:cs="宋体"/>
                <w:b w:val="0"/>
                <w:bCs w:val="0"/>
                <w:color w:val="auto"/>
                <w:sz w:val="21"/>
                <w:szCs w:val="21"/>
              </w:rPr>
              <w:t>。</w:t>
            </w:r>
          </w:p>
          <w:p>
            <w:pPr>
              <w:keepNext w:val="0"/>
              <w:keepLines w:val="0"/>
              <w:pageBreakBefore w:val="0"/>
              <w:widowControl/>
              <w:numPr>
                <w:ilvl w:val="0"/>
                <w:numId w:val="1"/>
              </w:numPr>
              <w:kinsoku/>
              <w:wordWrap/>
              <w:overflowPunct/>
              <w:topLinePunct w:val="0"/>
              <w:autoSpaceDE/>
              <w:autoSpaceDN/>
              <w:bidi w:val="0"/>
              <w:adjustRightInd/>
              <w:spacing w:line="240" w:lineRule="auto"/>
              <w:ind w:firstLine="420" w:firstLineChars="200"/>
              <w:textAlignment w:val="auto"/>
              <w:rPr>
                <w:rFonts w:hint="default"/>
                <w:b w:val="0"/>
                <w:bCs w:val="0"/>
                <w:color w:val="auto"/>
                <w:sz w:val="21"/>
                <w:szCs w:val="21"/>
                <w:lang w:val="en-US" w:eastAsia="zh-CN"/>
              </w:rPr>
            </w:pPr>
            <w:r>
              <w:rPr>
                <w:rFonts w:hint="eastAsia" w:ascii="宋体" w:hAnsi="宋体" w:cs="宋体"/>
                <w:b w:val="0"/>
                <w:bCs w:val="0"/>
                <w:color w:val="auto"/>
                <w:sz w:val="21"/>
                <w:szCs w:val="21"/>
              </w:rPr>
              <w:t>包括宣传片的创意、脚本、制作、配音、剪辑、包装等，</w:t>
            </w:r>
            <w:r>
              <w:rPr>
                <w:rFonts w:hint="eastAsia" w:ascii="宋体" w:hAnsi="宋体" w:cs="宋体"/>
                <w:b w:val="0"/>
                <w:bCs w:val="0"/>
                <w:color w:val="auto"/>
                <w:sz w:val="21"/>
                <w:szCs w:val="21"/>
                <w:lang w:eastAsia="zh-CN"/>
              </w:rPr>
              <w:t>条理清晰</w:t>
            </w:r>
            <w:r>
              <w:rPr>
                <w:rFonts w:hint="eastAsia" w:ascii="宋体" w:hAnsi="宋体" w:cs="宋体"/>
                <w:b w:val="0"/>
                <w:bCs w:val="0"/>
                <w:color w:val="auto"/>
                <w:sz w:val="21"/>
                <w:szCs w:val="21"/>
              </w:rPr>
              <w:t>、重点突出、表现手法具有创意性，具有强大的吸引力和引</w:t>
            </w:r>
            <w:r>
              <w:rPr>
                <w:rFonts w:hint="eastAsia" w:ascii="宋体" w:hAnsi="宋体" w:cs="宋体"/>
                <w:b w:val="0"/>
                <w:bCs w:val="0"/>
                <w:color w:val="auto"/>
                <w:sz w:val="21"/>
                <w:szCs w:val="21"/>
                <w:lang w:eastAsia="zh-CN"/>
              </w:rPr>
              <w:t>导力</w:t>
            </w:r>
            <w:r>
              <w:rPr>
                <w:rFonts w:hint="eastAsia" w:ascii="宋体" w:hAnsi="宋体" w:cs="宋体"/>
                <w:b w:val="0"/>
                <w:bCs w:val="0"/>
                <w:color w:val="auto"/>
                <w:sz w:val="21"/>
                <w:szCs w:val="21"/>
              </w:rPr>
              <w:t>、传播力。</w:t>
            </w:r>
          </w:p>
          <w:p>
            <w:pPr>
              <w:keepNext w:val="0"/>
              <w:keepLines w:val="0"/>
              <w:pageBreakBefore w:val="0"/>
              <w:numPr>
                <w:ilvl w:val="0"/>
                <w:numId w:val="1"/>
              </w:numPr>
              <w:kinsoku/>
              <w:wordWrap/>
              <w:overflowPunct/>
              <w:topLinePunct w:val="0"/>
              <w:autoSpaceDE/>
              <w:autoSpaceDN/>
              <w:bidi w:val="0"/>
              <w:adjustRightInd/>
              <w:spacing w:line="240" w:lineRule="auto"/>
              <w:ind w:left="0" w:leftChars="0" w:firstLine="420" w:firstLineChars="200"/>
              <w:textAlignment w:val="auto"/>
              <w:rPr>
                <w:rFonts w:hint="default"/>
                <w:b w:val="0"/>
                <w:bCs w:val="0"/>
                <w:color w:val="auto"/>
                <w:sz w:val="21"/>
                <w:szCs w:val="21"/>
                <w:lang w:val="en-US" w:eastAsia="zh-CN"/>
              </w:rPr>
            </w:pPr>
            <w:r>
              <w:rPr>
                <w:rFonts w:hint="eastAsia" w:ascii="宋体" w:hAnsi="宋体" w:cs="宋体"/>
                <w:b w:val="0"/>
                <w:bCs w:val="0"/>
                <w:color w:val="auto"/>
                <w:sz w:val="21"/>
                <w:szCs w:val="21"/>
              </w:rPr>
              <w:t>分辨率为4</w:t>
            </w:r>
            <w:r>
              <w:rPr>
                <w:rFonts w:hint="eastAsia" w:ascii="宋体" w:hAnsi="宋体" w:cs="宋体"/>
                <w:b w:val="0"/>
                <w:bCs w:val="0"/>
                <w:color w:val="auto"/>
                <w:sz w:val="21"/>
                <w:szCs w:val="21"/>
                <w:lang w:eastAsia="zh-Hans"/>
              </w:rPr>
              <w:t>K</w:t>
            </w:r>
            <w:r>
              <w:rPr>
                <w:rFonts w:hint="eastAsia" w:ascii="宋体" w:hAnsi="宋体" w:cs="宋体"/>
                <w:b w:val="0"/>
                <w:bCs w:val="0"/>
                <w:color w:val="auto"/>
                <w:sz w:val="21"/>
                <w:szCs w:val="21"/>
              </w:rPr>
              <w:t>成片清晰度</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光影饱和度等指标均按照高清指标要求，画质高清、画面规范、声音清晰、整体表现流畅、内容全面、制作精良、能够完整表现学校风貌</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宣传片声部、特效等保证高品质，符合各类播放软件及设备要求。</w:t>
            </w:r>
          </w:p>
          <w:p>
            <w:pPr>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420" w:firstLineChars="200"/>
              <w:textAlignment w:val="auto"/>
              <w:rPr>
                <w:rFonts w:hint="default" w:eastAsia="宋体"/>
                <w:b w:val="0"/>
                <w:bCs w:val="0"/>
                <w:color w:val="auto"/>
                <w:sz w:val="21"/>
                <w:szCs w:val="21"/>
                <w:lang w:val="en-US" w:eastAsia="zh-CN"/>
              </w:rPr>
            </w:pPr>
            <w:r>
              <w:rPr>
                <w:rFonts w:hint="eastAsia" w:ascii="宋体" w:hAnsi="宋体" w:cs="宋体"/>
                <w:b w:val="0"/>
                <w:bCs w:val="0"/>
                <w:color w:val="auto"/>
                <w:sz w:val="21"/>
                <w:szCs w:val="21"/>
              </w:rPr>
              <w:t>制作完成后向采购人提供高清格式文件以及DVD母盘各一张。电子文档、素材保留并将全部拍摄素材完整</w:t>
            </w:r>
            <w:r>
              <w:rPr>
                <w:rFonts w:hint="eastAsia" w:ascii="宋体" w:hAnsi="宋体" w:cs="宋体"/>
                <w:b w:val="0"/>
                <w:bCs w:val="0"/>
                <w:color w:val="auto"/>
                <w:sz w:val="21"/>
                <w:szCs w:val="21"/>
                <w:lang w:val="en-US" w:eastAsia="zh-CN"/>
              </w:rPr>
              <w:t>拷贝给</w:t>
            </w:r>
            <w:r>
              <w:rPr>
                <w:rFonts w:hint="eastAsia" w:ascii="宋体" w:hAnsi="宋体" w:cs="宋体"/>
                <w:b w:val="0"/>
                <w:bCs w:val="0"/>
                <w:color w:val="auto"/>
                <w:sz w:val="21"/>
                <w:szCs w:val="21"/>
              </w:rPr>
              <w:t>采购方。完成16：9和2.39：1的有字幕版本和无字幕版本各一份。</w:t>
            </w:r>
          </w:p>
          <w:p>
            <w:pPr>
              <w:rPr>
                <w:rFonts w:hint="default"/>
                <w:color w:val="auto"/>
                <w:lang w:val="en-US" w:eastAsia="zh-CN"/>
              </w:rPr>
            </w:pPr>
          </w:p>
        </w:tc>
        <w:tc>
          <w:tcPr>
            <w:tcW w:w="1408" w:type="dxa"/>
            <w:vAlign w:val="center"/>
          </w:tcPr>
          <w:p>
            <w:pPr>
              <w:widowControl/>
              <w:jc w:val="center"/>
              <w:rPr>
                <w:rFonts w:eastAsia="黑体"/>
                <w:color w:val="auto"/>
                <w:kern w:val="0"/>
                <w:sz w:val="24"/>
              </w:rPr>
            </w:pPr>
            <w:r>
              <w:rPr>
                <w:rFonts w:hint="eastAsia" w:eastAsia="黑体"/>
                <w:color w:val="auto"/>
                <w:kern w:val="0"/>
                <w:sz w:val="24"/>
                <w:lang w:val="en-US" w:eastAsia="zh-CN"/>
              </w:rPr>
              <w:t>1</w:t>
            </w:r>
            <w:r>
              <w:rPr>
                <w:rFonts w:eastAsia="黑体"/>
                <w:color w:val="auto"/>
                <w:kern w:val="0"/>
                <w:sz w:val="24"/>
              </w:rPr>
              <w:t>　</w:t>
            </w:r>
          </w:p>
        </w:tc>
        <w:tc>
          <w:tcPr>
            <w:tcW w:w="1063"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3</w:t>
            </w:r>
          </w:p>
        </w:tc>
        <w:tc>
          <w:tcPr>
            <w:tcW w:w="1619" w:type="dxa"/>
            <w:vAlign w:val="center"/>
          </w:tcPr>
          <w:p>
            <w:pPr>
              <w:widowControl/>
              <w:jc w:val="center"/>
              <w:rPr>
                <w:rFonts w:eastAsia="黑体"/>
                <w:color w:val="auto"/>
                <w:kern w:val="0"/>
                <w:sz w:val="24"/>
              </w:rPr>
            </w:pPr>
            <w:r>
              <w:rPr>
                <w:rFonts w:hint="eastAsia" w:eastAsia="黑体"/>
                <w:color w:val="auto"/>
                <w:kern w:val="0"/>
                <w:sz w:val="24"/>
                <w:lang w:val="en-US" w:eastAsia="zh-CN"/>
              </w:rPr>
              <w:t>3</w:t>
            </w:r>
            <w:r>
              <w:rPr>
                <w:rFonts w:eastAsia="黑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合计</w:t>
            </w:r>
          </w:p>
        </w:tc>
        <w:tc>
          <w:tcPr>
            <w:tcW w:w="8661" w:type="dxa"/>
            <w:gridSpan w:val="2"/>
            <w:vAlign w:val="center"/>
          </w:tcPr>
          <w:p>
            <w:pPr>
              <w:widowControl/>
              <w:jc w:val="left"/>
              <w:rPr>
                <w:rFonts w:hint="eastAsia" w:eastAsia="黑体"/>
                <w:color w:val="auto"/>
                <w:kern w:val="0"/>
                <w:sz w:val="24"/>
                <w:lang w:val="en-US" w:eastAsia="zh-CN"/>
              </w:rPr>
            </w:pPr>
            <w:r>
              <w:rPr>
                <w:rFonts w:eastAsia="黑体"/>
                <w:color w:val="auto"/>
                <w:kern w:val="0"/>
                <w:sz w:val="24"/>
              </w:rPr>
              <w:t>人民币大写：</w:t>
            </w:r>
            <w:r>
              <w:rPr>
                <w:rFonts w:hint="eastAsia" w:eastAsia="黑体"/>
                <w:color w:val="auto"/>
                <w:kern w:val="0"/>
                <w:sz w:val="24"/>
                <w:lang w:val="en-US" w:eastAsia="zh-CN"/>
              </w:rPr>
              <w:t>叁万元整</w:t>
            </w:r>
          </w:p>
        </w:tc>
        <w:tc>
          <w:tcPr>
            <w:tcW w:w="1408" w:type="dxa"/>
            <w:vAlign w:val="center"/>
          </w:tcPr>
          <w:p>
            <w:pPr>
              <w:widowControl/>
              <w:jc w:val="left"/>
              <w:rPr>
                <w:rFonts w:eastAsia="黑体"/>
                <w:color w:val="auto"/>
                <w:kern w:val="0"/>
                <w:sz w:val="24"/>
              </w:rPr>
            </w:pPr>
          </w:p>
        </w:tc>
        <w:tc>
          <w:tcPr>
            <w:tcW w:w="1063" w:type="dxa"/>
            <w:vAlign w:val="center"/>
          </w:tcPr>
          <w:p>
            <w:pPr>
              <w:widowControl/>
              <w:jc w:val="left"/>
              <w:rPr>
                <w:rFonts w:eastAsia="黑体"/>
                <w:color w:val="auto"/>
                <w:kern w:val="0"/>
                <w:sz w:val="24"/>
              </w:rPr>
            </w:pPr>
          </w:p>
        </w:tc>
        <w:tc>
          <w:tcPr>
            <w:tcW w:w="1619" w:type="dxa"/>
            <w:vAlign w:val="center"/>
          </w:tcPr>
          <w:p>
            <w:pPr>
              <w:widowControl/>
              <w:jc w:val="center"/>
              <w:rPr>
                <w:rFonts w:eastAsia="黑体"/>
                <w:color w:val="auto"/>
                <w:kern w:val="0"/>
                <w:sz w:val="24"/>
              </w:rPr>
            </w:pPr>
            <w:r>
              <w:rPr>
                <w:rFonts w:eastAsia="黑体"/>
                <w:color w:val="auto"/>
                <w:kern w:val="0"/>
                <w:sz w:val="24"/>
              </w:rPr>
              <w:t>　</w:t>
            </w:r>
          </w:p>
        </w:tc>
      </w:tr>
    </w:tbl>
    <w:p>
      <w:pPr>
        <w:widowControl/>
        <w:jc w:val="center"/>
        <w:rPr>
          <w:rFonts w:eastAsia="方正小标宋_GBK"/>
          <w:bCs/>
          <w:color w:val="auto"/>
          <w:kern w:val="0"/>
          <w:sz w:val="36"/>
          <w:szCs w:val="36"/>
        </w:rPr>
      </w:pPr>
    </w:p>
    <w:p>
      <w:pPr>
        <w:widowControl/>
        <w:rPr>
          <w:rFonts w:eastAsia="方正小标宋_GBK"/>
          <w:bCs/>
          <w:color w:val="auto"/>
          <w:kern w:val="0"/>
          <w:sz w:val="36"/>
          <w:szCs w:val="36"/>
        </w:rPr>
        <w:sectPr>
          <w:type w:val="continuous"/>
          <w:pgSz w:w="16838" w:h="11906" w:orient="landscape"/>
          <w:pgMar w:top="1446" w:right="1985" w:bottom="1446" w:left="1644" w:header="851" w:footer="1247" w:gutter="0"/>
          <w:cols w:space="720" w:num="1"/>
          <w:docGrid w:linePitch="312" w:charSpace="0"/>
        </w:sectPr>
      </w:pPr>
    </w:p>
    <w:p>
      <w:pPr>
        <w:rPr>
          <w:b/>
          <w:bCs/>
          <w:color w:val="auto"/>
          <w:sz w:val="28"/>
          <w:szCs w:val="28"/>
        </w:rPr>
      </w:pPr>
    </w:p>
    <w:p>
      <w:pPr>
        <w:pStyle w:val="6"/>
        <w:shd w:val="clear" w:color="auto" w:fill="FFFFFF"/>
        <w:spacing w:line="360" w:lineRule="auto"/>
        <w:jc w:val="center"/>
        <w:rPr>
          <w:rFonts w:ascii="Times New Roman" w:hAnsi="Times New Roman" w:eastAsia="方正小标宋_GBK"/>
          <w:bCs/>
          <w:color w:val="auto"/>
          <w:kern w:val="0"/>
          <w:sz w:val="36"/>
          <w:szCs w:val="36"/>
        </w:rPr>
      </w:pPr>
      <w:r>
        <w:rPr>
          <w:rFonts w:hint="eastAsia" w:ascii="Times New Roman" w:hAnsi="Times New Roman" w:eastAsia="方正小标宋_GBK"/>
          <w:bCs/>
          <w:color w:val="auto"/>
          <w:kern w:val="0"/>
          <w:sz w:val="36"/>
          <w:szCs w:val="36"/>
        </w:rPr>
        <w:t>项目商务要求</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0" w:name="_Toc75793509"/>
      <w:r>
        <w:rPr>
          <w:rFonts w:ascii="方正仿宋_GBK" w:eastAsia="方正仿宋_GBK"/>
          <w:color w:val="auto"/>
          <w:kern w:val="2"/>
          <w:sz w:val="24"/>
          <w:szCs w:val="24"/>
        </w:rPr>
        <w:t>交货期、交货地点及验收方式</w:t>
      </w:r>
      <w:bookmarkEnd w:id="0"/>
    </w:p>
    <w:p>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（一）交货期</w:t>
      </w:r>
    </w:p>
    <w:p>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供应商应在采购合同签订后</w:t>
      </w:r>
      <w:r>
        <w:rPr>
          <w:rFonts w:hint="eastAsia" w:ascii="方正仿宋_GBK" w:eastAsia="方正仿宋_GBK"/>
          <w:b w:val="0"/>
          <w:bCs/>
          <w:color w:val="auto"/>
          <w:kern w:val="2"/>
          <w:sz w:val="24"/>
          <w:szCs w:val="24"/>
          <w:lang w:val="en-US" w:eastAsia="zh-CN"/>
        </w:rPr>
        <w:t>10</w:t>
      </w:r>
      <w:r>
        <w:rPr>
          <w:rFonts w:ascii="方正仿宋_GBK" w:eastAsia="方正仿宋_GBK"/>
          <w:b w:val="0"/>
          <w:bCs/>
          <w:color w:val="auto"/>
          <w:kern w:val="2"/>
          <w:sz w:val="24"/>
          <w:szCs w:val="24"/>
        </w:rPr>
        <w:t>个日历日内</w:t>
      </w:r>
      <w:r>
        <w:rPr>
          <w:rFonts w:hint="eastAsia" w:ascii="方正仿宋_GBK" w:eastAsia="方正仿宋_GBK"/>
          <w:b w:val="0"/>
          <w:bCs/>
          <w:color w:val="auto"/>
          <w:kern w:val="2"/>
          <w:sz w:val="24"/>
          <w:szCs w:val="24"/>
          <w:lang w:val="en-US" w:eastAsia="zh-CN"/>
        </w:rPr>
        <w:t>完成合同约定的全部内容</w:t>
      </w:r>
      <w:r>
        <w:rPr>
          <w:rFonts w:ascii="方正仿宋_GBK" w:eastAsia="方正仿宋_GBK"/>
          <w:b w:val="0"/>
          <w:bCs/>
          <w:color w:val="auto"/>
          <w:kern w:val="2"/>
          <w:sz w:val="24"/>
          <w:szCs w:val="24"/>
        </w:rPr>
        <w:t>。</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（二）交货地点</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重庆城市管理职业学院</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（三）验收方式</w:t>
      </w:r>
    </w:p>
    <w:p>
      <w:pPr>
        <w:snapToGrid w:val="0"/>
        <w:spacing w:line="400" w:lineRule="exact"/>
        <w:ind w:firstLine="480" w:firstLineChars="200"/>
        <w:rPr>
          <w:rFonts w:ascii="方正仿宋_GBK" w:hAnsi="宋体" w:eastAsia="方正仿宋_GBK" w:cs="宋体"/>
          <w:kern w:val="0"/>
          <w:sz w:val="24"/>
        </w:rPr>
      </w:pPr>
      <w:bookmarkStart w:id="1" w:name="_Toc75793510"/>
      <w:bookmarkStart w:id="2" w:name="_Toc267320050"/>
      <w:r>
        <w:rPr>
          <w:rFonts w:hint="eastAsia" w:ascii="方正仿宋_GBK" w:hAnsi="宋体" w:eastAsia="方正仿宋_GBK"/>
          <w:bCs/>
          <w:sz w:val="24"/>
        </w:rPr>
        <w:t>将根据服务内容和标准逐条进行验收，全部满足视为验收合格，否则验收不合格。</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报价要求</w:t>
      </w:r>
      <w:bookmarkEnd w:id="1"/>
    </w:p>
    <w:p>
      <w:pPr>
        <w:snapToGrid w:val="0"/>
        <w:spacing w:line="400" w:lineRule="exact"/>
        <w:ind w:firstLine="480" w:firstLineChars="200"/>
        <w:rPr>
          <w:rFonts w:ascii="方正仿宋_GBK" w:eastAsia="方正仿宋_GBK"/>
          <w:color w:val="auto"/>
        </w:rPr>
      </w:pPr>
      <w:r>
        <w:rPr>
          <w:rFonts w:hint="eastAsia" w:ascii="方正仿宋_GBK" w:hAnsi="宋体" w:eastAsia="方正仿宋_GBK" w:cs="宋体"/>
          <w:color w:val="auto"/>
          <w:kern w:val="0"/>
          <w:sz w:val="24"/>
        </w:rPr>
        <w:t>本次报价须为人民币报价，</w:t>
      </w:r>
      <w:r>
        <w:rPr>
          <w:rFonts w:hint="eastAsia" w:ascii="方正仿宋_GBK" w:hAnsi="宋体" w:eastAsia="方正仿宋_GBK"/>
          <w:color w:val="auto"/>
          <w:sz w:val="24"/>
        </w:rPr>
        <w:t>包括完成本项目所需的货物</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服务、工程</w:t>
      </w:r>
      <w:r>
        <w:rPr>
          <w:rFonts w:hint="eastAsia" w:ascii="方正仿宋_GBK" w:hAnsi="宋体" w:eastAsia="方正仿宋_GBK"/>
          <w:color w:val="auto"/>
          <w:sz w:val="24"/>
          <w:lang w:eastAsia="zh-CN"/>
        </w:rPr>
        <w:t>）</w:t>
      </w:r>
      <w:r>
        <w:rPr>
          <w:rFonts w:hint="eastAsia" w:ascii="方正仿宋_GBK" w:hAnsi="宋体" w:eastAsia="方正仿宋_GBK"/>
          <w:color w:val="auto"/>
          <w:sz w:val="24"/>
          <w:lang w:val="en-US" w:eastAsia="zh-CN"/>
        </w:rPr>
        <w:t>及货物运输、安装、人工、</w:t>
      </w:r>
      <w:r>
        <w:rPr>
          <w:rFonts w:hint="eastAsia" w:ascii="方正仿宋_GBK" w:hAnsi="宋体" w:eastAsia="方正仿宋_GBK"/>
          <w:color w:val="auto"/>
          <w:sz w:val="24"/>
        </w:rPr>
        <w:t>税费等</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。因成交供应商自身原因造成漏报、少报皆由其自行承担责任，采购人不再补偿。</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3" w:name="_Toc75793511"/>
      <w:r>
        <w:rPr>
          <w:rFonts w:ascii="方正仿宋_GBK" w:eastAsia="方正仿宋_GBK"/>
          <w:color w:val="auto"/>
          <w:kern w:val="2"/>
          <w:sz w:val="24"/>
          <w:szCs w:val="24"/>
        </w:rPr>
        <w:t>质量保证及售后服务</w:t>
      </w:r>
      <w:bookmarkEnd w:id="2"/>
      <w:bookmarkEnd w:id="3"/>
    </w:p>
    <w:p>
      <w:pPr>
        <w:numPr>
          <w:ilvl w:val="0"/>
          <w:numId w:val="3"/>
        </w:numPr>
        <w:snapToGrid w:val="0"/>
        <w:spacing w:line="400" w:lineRule="exact"/>
        <w:ind w:firstLine="480" w:firstLineChars="200"/>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产品质量保证期：自验收合格之日起，产品质量保证期为六个月。</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（二）售后服务内容</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1.供应商在</w:t>
      </w:r>
      <w:r>
        <w:rPr>
          <w:rFonts w:hint="eastAsia" w:ascii="方正仿宋_GBK" w:hAnsi="宋体" w:eastAsia="方正仿宋_GBK" w:cs="宋体"/>
          <w:color w:val="auto"/>
          <w:kern w:val="0"/>
          <w:sz w:val="24"/>
          <w:lang w:val="en-US" w:eastAsia="zh-CN"/>
        </w:rPr>
        <w:t>质保期</w:t>
      </w:r>
      <w:r>
        <w:rPr>
          <w:rFonts w:hint="eastAsia" w:ascii="方正仿宋_GBK" w:hAnsi="宋体" w:eastAsia="方正仿宋_GBK" w:cs="宋体"/>
          <w:color w:val="auto"/>
          <w:kern w:val="0"/>
          <w:sz w:val="24"/>
        </w:rPr>
        <w:t>内应当为采购人提供以下技术支持和服务：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1.1电话咨询</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供应商应当为采购人提供技术援助电话，解答采购人在使用中遇到的问题，及时为采购人提出解决问题的建议。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1.2现场响应</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中标人在拍摄期间，导演组、制片组、摄制组、化妆组全程现场跟进，对采购人遇到拍摄及技术问题现场解答，使采购人拍摄项目能够正常推进。</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1.3技术升级</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在质保期内，如果供应商</w:t>
      </w:r>
      <w:r>
        <w:rPr>
          <w:rFonts w:hint="eastAsia" w:ascii="方正仿宋_GBK" w:hAnsi="宋体" w:eastAsia="方正仿宋_GBK" w:cs="宋体"/>
          <w:color w:val="auto"/>
          <w:kern w:val="0"/>
          <w:sz w:val="24"/>
          <w:lang w:val="en-US" w:eastAsia="zh-CN"/>
        </w:rPr>
        <w:t>服务</w:t>
      </w:r>
      <w:r>
        <w:rPr>
          <w:rFonts w:hint="eastAsia" w:ascii="方正仿宋_GBK" w:hAnsi="宋体" w:eastAsia="方正仿宋_GBK" w:cs="宋体"/>
          <w:color w:val="auto"/>
          <w:kern w:val="0"/>
          <w:sz w:val="24"/>
        </w:rPr>
        <w:t>技术升级，供应商应及时通知采购人，如采购人有相应要求，供应商应对采购人购买的产品进行升级服务。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2.质保期外服务要求</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2.1质量保证期过后，供应商应同样提供免费电话咨询服务，并应承诺提供上门维护服务。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2.2质量保证期过后，采购人需要继续由原供应商提供售后服务的，该供应商应以优惠价格提供售后服务。</w:t>
      </w:r>
    </w:p>
    <w:p>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jc w:val="both"/>
        <w:textAlignment w:val="auto"/>
        <w:rPr>
          <w:rFonts w:ascii="方正仿宋_GBK" w:eastAsia="方正仿宋_GBK"/>
          <w:color w:val="000000"/>
          <w:kern w:val="2"/>
          <w:sz w:val="24"/>
          <w:szCs w:val="24"/>
        </w:rPr>
      </w:pPr>
      <w:bookmarkStart w:id="4" w:name="_Toc267320051"/>
      <w:bookmarkStart w:id="5" w:name="_Toc75793512"/>
      <w:bookmarkStart w:id="6" w:name="_Toc267320052"/>
      <w:bookmarkStart w:id="7" w:name="_Toc75793513"/>
      <w:r>
        <w:rPr>
          <w:rFonts w:ascii="方正仿宋_GBK" w:eastAsia="方正仿宋_GBK"/>
          <w:color w:val="000000"/>
          <w:kern w:val="2"/>
          <w:sz w:val="24"/>
          <w:szCs w:val="24"/>
        </w:rPr>
        <w:t>四、付款方式</w:t>
      </w:r>
      <w:bookmarkEnd w:id="4"/>
      <w:bookmarkEnd w:id="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000000"/>
          <w:sz w:val="24"/>
        </w:rPr>
      </w:pPr>
      <w:r>
        <w:rPr>
          <w:rFonts w:hint="eastAsia" w:ascii="方正仿宋_GBK" w:hAnsi="宋体" w:eastAsia="方正仿宋_GBK"/>
          <w:color w:val="000000"/>
          <w:sz w:val="24"/>
        </w:rPr>
        <w:t>服务类：验收合格后，成交供应商向采购人提供增值税普通（或专用）发票，采购人向成交供应商支付合同全款。</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知识产权</w:t>
      </w:r>
      <w:bookmarkEnd w:id="6"/>
      <w:bookmarkEnd w:id="7"/>
    </w:p>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w:t>
      </w:r>
      <w:r>
        <w:rPr>
          <w:rFonts w:hint="eastAsia" w:ascii="方正仿宋_GBK" w:hAnsi="宋体" w:eastAsia="方正仿宋_GBK"/>
          <w:color w:val="auto"/>
          <w:sz w:val="24"/>
          <w:lang w:eastAsia="zh-CN"/>
        </w:rPr>
        <w:t>或其他</w:t>
      </w:r>
      <w:r>
        <w:rPr>
          <w:rFonts w:hint="eastAsia" w:ascii="方正仿宋_GBK" w:hAnsi="宋体" w:eastAsia="方正仿宋_GBK"/>
          <w:color w:val="auto"/>
          <w:sz w:val="24"/>
        </w:rPr>
        <w:t>知识产权的起诉。如果第三方提出侵权指控，成交供应商应承担由此而引起的一切法律责任和费用。</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注：（若涉及软件开发等服务类项目知识产权的，知识产权归采购人所有）。</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违约责任</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1.供应商所交付的货物不符合本合同规定的，采购人有权拒收，供应商在得到采购人通知之日起   5  个工作日内采取补救措施，逾期仍未采取有效措施的，采购人有权要求供应商赔偿因此造成的损失或扣留履约保证金；同时供应商应向采购人支付合同总价    2  ％的违约金。</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2</w:t>
      </w:r>
      <w:r>
        <w:rPr>
          <w:rFonts w:hint="eastAsia" w:ascii="方正仿宋_GBK" w:hAnsi="宋体" w:eastAsia="方正仿宋_GBK"/>
          <w:color w:val="auto"/>
          <w:sz w:val="24"/>
        </w:rPr>
        <w:t>.供应商无正当理由逾期交付货物的，每逾期1周，供应商向采购人偿付逾期交货部分货款总额的  1  ‰的违约金。如供应商逾期交货达   60  天，采购人有权解除合同，采购人解除合同的通知自到达供应商时生效。在此情况下，供应商给采购人造成的实际损失高于违约金的，对高出违约金的部分供应商应予以赔偿。</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3</w:t>
      </w:r>
      <w:r>
        <w:rPr>
          <w:rFonts w:hint="eastAsia" w:ascii="方正仿宋_GBK" w:hAnsi="宋体" w:eastAsia="方正仿宋_GBK"/>
          <w:color w:val="auto"/>
          <w:sz w:val="24"/>
        </w:rPr>
        <w:t>.其它未尽事宜，以《民法典》和《政府采购法》等有关法律法规规定为准，无相关规定的，双方协商解决。</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不可抗力</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供需双方中任何一方，因不可抗力不能按时或完全履行合同的，应及时通知对方，并在   5 个工作日内提供相应证明。未履行完合同部分是否继续履行、如何履行等问题，可由双方初步协商，并向主管部门和政府采购管理部门报告。确定为不可抗力原因造成的损失，免予承担责任。</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宋体" w:hAnsi="宋体" w:cs="宋体"/>
          <w:color w:val="auto"/>
          <w:sz w:val="24"/>
          <w:szCs w:val="24"/>
        </w:rPr>
        <w:t>其他</w:t>
      </w:r>
    </w:p>
    <w:p>
      <w:pPr>
        <w:numPr>
          <w:ilvl w:val="0"/>
          <w:numId w:val="4"/>
        </w:num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供应商必须在投标文件中对以上条款和服务承诺明确列出，承诺内容必须达到本篇及招标文件其他条款的要求。</w:t>
      </w:r>
    </w:p>
    <w:p>
      <w:pPr>
        <w:numPr>
          <w:ilvl w:val="0"/>
          <w:numId w:val="4"/>
        </w:numPr>
        <w:snapToGrid w:val="0"/>
        <w:spacing w:line="400" w:lineRule="exact"/>
        <w:ind w:left="0" w:leftChars="0" w:firstLine="540" w:firstLineChars="0"/>
        <w:rPr>
          <w:rFonts w:hint="eastAsia" w:ascii="方正仿宋_GBK" w:hAnsi="宋体" w:eastAsia="方正仿宋_GBK"/>
          <w:color w:val="auto"/>
          <w:sz w:val="24"/>
        </w:rPr>
      </w:pPr>
      <w:r>
        <w:rPr>
          <w:rFonts w:hint="eastAsia" w:ascii="方正仿宋_GBK" w:hAnsi="宋体" w:eastAsia="方正仿宋_GBK"/>
          <w:color w:val="auto"/>
          <w:sz w:val="24"/>
        </w:rPr>
        <w:t>其他未尽事宜由供需双方在采购合同中详细约定。</w:t>
      </w:r>
    </w:p>
    <w:p>
      <w:pPr>
        <w:rPr>
          <w:color w:val="auto"/>
          <w:sz w:val="28"/>
          <w:szCs w:val="28"/>
        </w:rPr>
      </w:pPr>
    </w:p>
    <w:sectPr>
      <w:pgSz w:w="11906" w:h="16838"/>
      <w:pgMar w:top="1440" w:right="1417"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45D1B"/>
    <w:multiLevelType w:val="singleLevel"/>
    <w:tmpl w:val="BE845D1B"/>
    <w:lvl w:ilvl="0" w:tentative="0">
      <w:start w:val="1"/>
      <w:numFmt w:val="chineseCounting"/>
      <w:suff w:val="nothing"/>
      <w:lvlText w:val="（%1）"/>
      <w:lvlJc w:val="left"/>
      <w:rPr>
        <w:rFonts w:hint="eastAsia"/>
      </w:rPr>
    </w:lvl>
  </w:abstractNum>
  <w:abstractNum w:abstractNumId="1">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2">
    <w:nsid w:val="F0032AD8"/>
    <w:multiLevelType w:val="singleLevel"/>
    <w:tmpl w:val="F0032AD8"/>
    <w:lvl w:ilvl="0" w:tentative="0">
      <w:start w:val="1"/>
      <w:numFmt w:val="decimal"/>
      <w:suff w:val="space"/>
      <w:lvlText w:val="%1."/>
      <w:lvlJc w:val="left"/>
    </w:lvl>
  </w:abstractNum>
  <w:abstractNum w:abstractNumId="3">
    <w:nsid w:val="FA497CC3"/>
    <w:multiLevelType w:val="singleLevel"/>
    <w:tmpl w:val="FA497CC3"/>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11955B8B"/>
    <w:rsid w:val="005F2DA6"/>
    <w:rsid w:val="01422D11"/>
    <w:rsid w:val="034D2242"/>
    <w:rsid w:val="04893C18"/>
    <w:rsid w:val="07632E46"/>
    <w:rsid w:val="07C37441"/>
    <w:rsid w:val="08CE42EF"/>
    <w:rsid w:val="094445B2"/>
    <w:rsid w:val="09FC40C9"/>
    <w:rsid w:val="0D0F2F1E"/>
    <w:rsid w:val="0E2B09DF"/>
    <w:rsid w:val="0E8F62CF"/>
    <w:rsid w:val="0EB40D91"/>
    <w:rsid w:val="0F3B0F56"/>
    <w:rsid w:val="101747CE"/>
    <w:rsid w:val="104A4BA3"/>
    <w:rsid w:val="11955B8B"/>
    <w:rsid w:val="129F23BC"/>
    <w:rsid w:val="13143247"/>
    <w:rsid w:val="134F0723"/>
    <w:rsid w:val="15091AF6"/>
    <w:rsid w:val="162A0E60"/>
    <w:rsid w:val="16AD19E8"/>
    <w:rsid w:val="173543E5"/>
    <w:rsid w:val="179D7CAF"/>
    <w:rsid w:val="1977472B"/>
    <w:rsid w:val="1D7F2060"/>
    <w:rsid w:val="1DA677DE"/>
    <w:rsid w:val="1EA73213"/>
    <w:rsid w:val="1FED1557"/>
    <w:rsid w:val="2094622D"/>
    <w:rsid w:val="21257950"/>
    <w:rsid w:val="212E1C78"/>
    <w:rsid w:val="229D7411"/>
    <w:rsid w:val="23902475"/>
    <w:rsid w:val="246904F2"/>
    <w:rsid w:val="25BF5294"/>
    <w:rsid w:val="26BC7A25"/>
    <w:rsid w:val="27BC2C0C"/>
    <w:rsid w:val="298A432D"/>
    <w:rsid w:val="2B0E176C"/>
    <w:rsid w:val="2B2E5F8F"/>
    <w:rsid w:val="2C365B84"/>
    <w:rsid w:val="2F4F0632"/>
    <w:rsid w:val="3052363A"/>
    <w:rsid w:val="30D32740"/>
    <w:rsid w:val="30ED53AB"/>
    <w:rsid w:val="311741D6"/>
    <w:rsid w:val="316D604B"/>
    <w:rsid w:val="33447433"/>
    <w:rsid w:val="346C2A8B"/>
    <w:rsid w:val="36252EF1"/>
    <w:rsid w:val="36E637A2"/>
    <w:rsid w:val="3A9E14C4"/>
    <w:rsid w:val="3DFF671E"/>
    <w:rsid w:val="3E0A3EC6"/>
    <w:rsid w:val="3E442382"/>
    <w:rsid w:val="3E4B54BF"/>
    <w:rsid w:val="436B40C0"/>
    <w:rsid w:val="43DE2931"/>
    <w:rsid w:val="4525349D"/>
    <w:rsid w:val="461B5233"/>
    <w:rsid w:val="46442A10"/>
    <w:rsid w:val="47562867"/>
    <w:rsid w:val="4A1A5BDD"/>
    <w:rsid w:val="4A5E4273"/>
    <w:rsid w:val="4A7B537E"/>
    <w:rsid w:val="4D427FE8"/>
    <w:rsid w:val="4EDD2163"/>
    <w:rsid w:val="50836453"/>
    <w:rsid w:val="511B6D78"/>
    <w:rsid w:val="51656D01"/>
    <w:rsid w:val="5233653E"/>
    <w:rsid w:val="52461B27"/>
    <w:rsid w:val="547F40EA"/>
    <w:rsid w:val="54CD48DE"/>
    <w:rsid w:val="55254864"/>
    <w:rsid w:val="57DD7C07"/>
    <w:rsid w:val="5C3704D9"/>
    <w:rsid w:val="5D4D7AA3"/>
    <w:rsid w:val="5F781A34"/>
    <w:rsid w:val="61202383"/>
    <w:rsid w:val="62B66AFB"/>
    <w:rsid w:val="630F26B0"/>
    <w:rsid w:val="63CD2E60"/>
    <w:rsid w:val="64A136EE"/>
    <w:rsid w:val="66124991"/>
    <w:rsid w:val="66AA0E09"/>
    <w:rsid w:val="688821DC"/>
    <w:rsid w:val="69B55D5F"/>
    <w:rsid w:val="6ACA7D81"/>
    <w:rsid w:val="6BB32772"/>
    <w:rsid w:val="6C314B7A"/>
    <w:rsid w:val="6C586E75"/>
    <w:rsid w:val="6DAA3701"/>
    <w:rsid w:val="6ECB1B80"/>
    <w:rsid w:val="6F4B1580"/>
    <w:rsid w:val="6FA256E9"/>
    <w:rsid w:val="6FA974BD"/>
    <w:rsid w:val="723B701D"/>
    <w:rsid w:val="73AB3D2F"/>
    <w:rsid w:val="7429230C"/>
    <w:rsid w:val="745A0E4C"/>
    <w:rsid w:val="74956EB9"/>
    <w:rsid w:val="760F78EA"/>
    <w:rsid w:val="76320737"/>
    <w:rsid w:val="76F459ED"/>
    <w:rsid w:val="79A64FAB"/>
    <w:rsid w:val="7A00611B"/>
    <w:rsid w:val="7D8E3B93"/>
    <w:rsid w:val="7E174DE1"/>
    <w:rsid w:val="7E8B290D"/>
    <w:rsid w:val="7F710522"/>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rPr>
      <w:szCs w:val="20"/>
    </w:rPr>
  </w:style>
  <w:style w:type="paragraph" w:styleId="5">
    <w:name w:val="Body Text"/>
    <w:basedOn w:val="1"/>
    <w:autoRedefine/>
    <w:qFormat/>
    <w:uiPriority w:val="0"/>
    <w:rPr>
      <w:rFonts w:ascii="仿宋_GB2312" w:eastAsia="仿宋_GB2312"/>
      <w:kern w:val="2"/>
      <w:sz w:val="32"/>
    </w:rPr>
  </w:style>
  <w:style w:type="paragraph" w:styleId="6">
    <w:name w:val="Plain Text"/>
    <w:basedOn w:val="1"/>
    <w:autoRedefine/>
    <w:qFormat/>
    <w:uiPriority w:val="0"/>
    <w:rPr>
      <w:rFonts w:ascii="宋体" w:hAnsi="Courier New"/>
      <w:szCs w:val="21"/>
    </w:rPr>
  </w:style>
  <w:style w:type="paragraph" w:styleId="7">
    <w:name w:val="Balloon Text"/>
    <w:basedOn w:val="1"/>
    <w:uiPriority w:val="0"/>
    <w:rPr>
      <w:sz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Title"/>
    <w:basedOn w:val="1"/>
    <w:next w:val="1"/>
    <w:autoRedefine/>
    <w:qFormat/>
    <w:uiPriority w:val="0"/>
    <w:pPr>
      <w:spacing w:before="240" w:after="60"/>
      <w:jc w:val="center"/>
      <w:outlineLvl w:val="0"/>
    </w:pPr>
    <w:rPr>
      <w:rFonts w:ascii="Cambria" w:hAnsi="Cambria"/>
      <w:b/>
      <w:bCs/>
      <w:sz w:val="32"/>
      <w:szCs w:val="32"/>
    </w:rPr>
  </w:style>
  <w:style w:type="character" w:styleId="12">
    <w:name w:val="Hyperlink"/>
    <w:autoRedefine/>
    <w:qFormat/>
    <w:uiPriority w:val="0"/>
    <w:rPr>
      <w:color w:val="0000FF"/>
      <w:u w:val="single"/>
    </w:rPr>
  </w:style>
  <w:style w:type="character" w:styleId="13">
    <w:name w:val="annotation reference"/>
    <w:autoRedefine/>
    <w:qFormat/>
    <w:uiPriority w:val="0"/>
    <w:rPr>
      <w:sz w:val="21"/>
      <w:szCs w:val="21"/>
    </w:rPr>
  </w:style>
  <w:style w:type="paragraph" w:customStyle="1" w:styleId="14">
    <w:name w:val="图例"/>
    <w:basedOn w:val="1"/>
    <w:autoRedefine/>
    <w:qFormat/>
    <w:uiPriority w:val="0"/>
    <w:pPr>
      <w:spacing w:before="120" w:after="120" w:line="360" w:lineRule="auto"/>
      <w:jc w:val="center"/>
    </w:pPr>
    <w:rPr>
      <w:rFonts w:eastAsia="仿宋_GB2312"/>
      <w:b/>
      <w:sz w:val="24"/>
    </w:rPr>
  </w:style>
  <w:style w:type="paragraph" w:customStyle="1" w:styleId="15">
    <w:name w:val="Normal"/>
    <w:autoRedefine/>
    <w:qFormat/>
    <w:uiPriority w:val="0"/>
    <w:pPr>
      <w:jc w:val="both"/>
    </w:pPr>
    <w:rPr>
      <w:rFonts w:ascii="Calibri" w:hAnsi="Calibri" w:eastAsia="宋体" w:cs="Calibri"/>
      <w:kern w:val="2"/>
      <w:sz w:val="21"/>
      <w:szCs w:val="21"/>
      <w:lang w:val="en-US" w:eastAsia="zh-CN" w:bidi="ar-SA"/>
    </w:rPr>
  </w:style>
  <w:style w:type="paragraph" w:customStyle="1" w:styleId="16">
    <w:name w:val="正文文本缩进1"/>
    <w:basedOn w:val="17"/>
    <w:autoRedefine/>
    <w:qFormat/>
    <w:uiPriority w:val="0"/>
    <w:pPr>
      <w:spacing w:line="700" w:lineRule="exact"/>
      <w:ind w:left="960"/>
    </w:pPr>
    <w:rPr>
      <w:rFonts w:ascii="Calibri" w:hAnsi="Calibri"/>
      <w:kern w:val="2"/>
      <w:sz w:val="44"/>
    </w:rPr>
  </w:style>
  <w:style w:type="paragraph" w:customStyle="1" w:styleId="17">
    <w:name w:val="正文11"/>
    <w:next w:val="1"/>
    <w:autoRedefine/>
    <w:qFormat/>
    <w:uiPriority w:val="0"/>
    <w:pPr>
      <w:widowControl w:val="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2141</Words>
  <Characters>2221</Characters>
  <Lines>0</Lines>
  <Paragraphs>0</Paragraphs>
  <TotalTime>0</TotalTime>
  <ScaleCrop>false</ScaleCrop>
  <LinksUpToDate>false</LinksUpToDate>
  <CharactersWithSpaces>2340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2022-10-21T02:17:00Z</dcterms:created>
  <dc:creator>＆心境＆</dc:creator>
  <cp:lastModifiedBy>唐凌云</cp:lastModifiedBy>
  <dcterms:modified xsi:type="dcterms:W3CDTF">2024-06-19T07:21:29Z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674B27180A3043C6A689391EC19C464A_13</vt:lpwstr>
  </property>
</Properties>
</file>